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FF4DF8" w14:textId="77777777" w:rsidR="000C66C3" w:rsidRPr="000C66C3" w:rsidRDefault="000C66C3" w:rsidP="004578D7">
      <w:pPr>
        <w:pStyle w:val="Title"/>
      </w:pPr>
      <w:bookmarkStart w:id="0" w:name="_Toc55268828"/>
      <w:r w:rsidRPr="000C66C3">
        <w:t>An Economic and Reliability Study</w:t>
      </w:r>
    </w:p>
    <w:p w14:paraId="7E5EE3C1" w14:textId="77777777" w:rsidR="000C66C3" w:rsidRPr="000C66C3" w:rsidRDefault="000C66C3" w:rsidP="000C66C3">
      <w:pPr>
        <w:pStyle w:val="Title"/>
      </w:pPr>
      <w:r w:rsidRPr="000C66C3">
        <w:t>of the</w:t>
      </w:r>
    </w:p>
    <w:p w14:paraId="195459F4" w14:textId="77777777" w:rsidR="000C66C3" w:rsidRPr="000C66C3" w:rsidRDefault="000C66C3" w:rsidP="000C66C3">
      <w:pPr>
        <w:pStyle w:val="Title"/>
      </w:pPr>
      <w:r w:rsidRPr="000C66C3">
        <w:t>Target Reserve Margin</w:t>
      </w:r>
    </w:p>
    <w:p w14:paraId="540B9C6A" w14:textId="77777777" w:rsidR="000C66C3" w:rsidRPr="000C66C3" w:rsidRDefault="000C66C3" w:rsidP="000C66C3">
      <w:pPr>
        <w:pStyle w:val="Title"/>
      </w:pPr>
      <w:r w:rsidRPr="000C66C3">
        <w:t>for the</w:t>
      </w:r>
    </w:p>
    <w:p w14:paraId="5C7C5FE1" w14:textId="66205195" w:rsidR="000C66C3" w:rsidRPr="000C66C3" w:rsidRDefault="6A6F006E" w:rsidP="000C66C3">
      <w:pPr>
        <w:pStyle w:val="Title"/>
      </w:pPr>
      <w:r>
        <w:t>Southern Company System</w:t>
      </w:r>
    </w:p>
    <w:p w14:paraId="2A771E9F" w14:textId="77777777" w:rsidR="000C66C3" w:rsidRDefault="000C66C3" w:rsidP="000C66C3">
      <w:pPr>
        <w:jc w:val="right"/>
        <w:rPr>
          <w:b/>
          <w:szCs w:val="24"/>
        </w:rPr>
      </w:pPr>
    </w:p>
    <w:p w14:paraId="36DE721C" w14:textId="77777777" w:rsidR="000C66C3" w:rsidRDefault="000C66C3" w:rsidP="000C66C3">
      <w:pPr>
        <w:jc w:val="right"/>
        <w:rPr>
          <w:b/>
          <w:szCs w:val="24"/>
        </w:rPr>
      </w:pPr>
    </w:p>
    <w:p w14:paraId="0ECC666E" w14:textId="77777777" w:rsidR="000C66C3" w:rsidRDefault="000C66C3" w:rsidP="000C66C3">
      <w:pPr>
        <w:jc w:val="right"/>
        <w:rPr>
          <w:b/>
          <w:szCs w:val="24"/>
        </w:rPr>
      </w:pPr>
    </w:p>
    <w:p w14:paraId="52823DA9" w14:textId="77777777" w:rsidR="000C66C3" w:rsidRDefault="000C66C3" w:rsidP="000C66C3">
      <w:pPr>
        <w:jc w:val="right"/>
        <w:rPr>
          <w:b/>
          <w:szCs w:val="24"/>
        </w:rPr>
      </w:pPr>
    </w:p>
    <w:p w14:paraId="698462F8" w14:textId="77777777" w:rsidR="000C66C3" w:rsidRDefault="000C66C3" w:rsidP="000C66C3">
      <w:pPr>
        <w:jc w:val="right"/>
        <w:rPr>
          <w:b/>
          <w:szCs w:val="24"/>
        </w:rPr>
      </w:pPr>
    </w:p>
    <w:p w14:paraId="16D5B77C" w14:textId="76FA9380" w:rsidR="00C3395D" w:rsidRPr="000C66C3" w:rsidRDefault="00F003CE" w:rsidP="00F63D48">
      <w:pPr>
        <w:jc w:val="right"/>
        <w:sectPr w:rsidR="00C3395D" w:rsidRPr="000C66C3" w:rsidSect="00DB641B">
          <w:headerReference w:type="default" r:id="rId8"/>
          <w:footerReference w:type="even" r:id="rId9"/>
          <w:footerReference w:type="default" r:id="rId10"/>
          <w:headerReference w:type="first" r:id="rId11"/>
          <w:footerReference w:type="first" r:id="rId12"/>
          <w:type w:val="oddPage"/>
          <w:pgSz w:w="12240" w:h="15840" w:code="1"/>
          <w:pgMar w:top="1800" w:right="1440" w:bottom="1800" w:left="1440" w:header="720" w:footer="720" w:gutter="0"/>
          <w:pgNumType w:fmt="lowerRoman"/>
          <w:cols w:space="720" w:equalWidth="0">
            <w:col w:w="9360"/>
          </w:cols>
          <w:vAlign w:val="center"/>
          <w:titlePg/>
        </w:sectPr>
      </w:pPr>
      <w:r>
        <w:rPr>
          <w:b/>
          <w:szCs w:val="24"/>
        </w:rPr>
        <w:t>January 20</w:t>
      </w:r>
      <w:r w:rsidR="00B12828">
        <w:rPr>
          <w:b/>
          <w:szCs w:val="24"/>
        </w:rPr>
        <w:t>2</w:t>
      </w:r>
      <w:r w:rsidR="00AC3329">
        <w:rPr>
          <w:b/>
          <w:szCs w:val="24"/>
        </w:rPr>
        <w:t>5</w:t>
      </w:r>
    </w:p>
    <w:p w14:paraId="1FECDF66" w14:textId="77777777" w:rsidR="00D71BAC" w:rsidRPr="00DB641B" w:rsidRDefault="00D71BAC" w:rsidP="000C66C3">
      <w:pPr>
        <w:pStyle w:val="Heading1"/>
        <w:numPr>
          <w:ilvl w:val="0"/>
          <w:numId w:val="0"/>
        </w:numPr>
      </w:pPr>
      <w:bookmarkStart w:id="1" w:name="_Ref175131521"/>
      <w:bookmarkStart w:id="2" w:name="_Toc187234582"/>
      <w:r w:rsidRPr="00DB641B">
        <w:lastRenderedPageBreak/>
        <w:t>EXECUTIVE SUMMARY</w:t>
      </w:r>
      <w:bookmarkEnd w:id="1"/>
      <w:bookmarkEnd w:id="2"/>
    </w:p>
    <w:p w14:paraId="5D430D3E" w14:textId="77777777" w:rsidR="00D71BAC" w:rsidRPr="00C627E2" w:rsidRDefault="00D71BAC" w:rsidP="00217F0E">
      <w:pPr>
        <w:rPr>
          <w:szCs w:val="24"/>
        </w:rPr>
      </w:pPr>
    </w:p>
    <w:p w14:paraId="58C3CE5D" w14:textId="46F6DE03" w:rsidR="0014453A" w:rsidRPr="00F44925" w:rsidRDefault="00FD0CA5" w:rsidP="0014453A">
      <w:pPr>
        <w:rPr>
          <w:szCs w:val="24"/>
        </w:rPr>
      </w:pPr>
      <w:r>
        <w:rPr>
          <w:szCs w:val="24"/>
        </w:rPr>
        <w:t>E</w:t>
      </w:r>
      <w:r w:rsidR="00D71BAC" w:rsidRPr="00C627E2">
        <w:rPr>
          <w:szCs w:val="24"/>
        </w:rPr>
        <w:t>lectric utility customers expect and depend on high levels of service reliability</w:t>
      </w:r>
      <w:r>
        <w:rPr>
          <w:szCs w:val="24"/>
        </w:rPr>
        <w:t>. As such</w:t>
      </w:r>
      <w:r w:rsidR="00D71BAC" w:rsidRPr="00C627E2">
        <w:rPr>
          <w:szCs w:val="24"/>
        </w:rPr>
        <w:t xml:space="preserve">, a prudent utility must have an economically balanced level of generating capacity </w:t>
      </w:r>
      <w:r w:rsidR="00BA6DFD">
        <w:rPr>
          <w:szCs w:val="24"/>
        </w:rPr>
        <w:t>that both exceeds</w:t>
      </w:r>
      <w:r w:rsidR="00D71BAC" w:rsidRPr="00C627E2">
        <w:rPr>
          <w:szCs w:val="24"/>
        </w:rPr>
        <w:t xml:space="preserve"> the peak load</w:t>
      </w:r>
      <w:r>
        <w:rPr>
          <w:szCs w:val="24"/>
        </w:rPr>
        <w:t xml:space="preserve"> </w:t>
      </w:r>
      <w:r w:rsidR="00BA6DFD">
        <w:rPr>
          <w:szCs w:val="24"/>
        </w:rPr>
        <w:t xml:space="preserve">and </w:t>
      </w:r>
      <w:r w:rsidR="00A560DC">
        <w:rPr>
          <w:szCs w:val="24"/>
        </w:rPr>
        <w:t>m</w:t>
      </w:r>
      <w:r>
        <w:rPr>
          <w:szCs w:val="24"/>
        </w:rPr>
        <w:t>eets a minimum reliability threshold</w:t>
      </w:r>
      <w:r w:rsidR="00D71BAC" w:rsidRPr="00C627E2">
        <w:rPr>
          <w:szCs w:val="24"/>
        </w:rPr>
        <w:t xml:space="preserve">. To have this reserve capacity available when it is needed, a utility </w:t>
      </w:r>
      <w:r w:rsidR="00D71BAC" w:rsidRPr="00421157">
        <w:rPr>
          <w:szCs w:val="24"/>
        </w:rPr>
        <w:t xml:space="preserve">must plan beyond the upcoming season because </w:t>
      </w:r>
      <w:r w:rsidR="00F81B2B">
        <w:rPr>
          <w:szCs w:val="24"/>
        </w:rPr>
        <w:t xml:space="preserve">the </w:t>
      </w:r>
      <w:r w:rsidR="00D71BAC" w:rsidRPr="00421157">
        <w:rPr>
          <w:szCs w:val="24"/>
        </w:rPr>
        <w:t xml:space="preserve">processes to procure capacity, such as building a new unit or </w:t>
      </w:r>
      <w:r w:rsidR="00F63D48">
        <w:rPr>
          <w:szCs w:val="24"/>
        </w:rPr>
        <w:t>procuring</w:t>
      </w:r>
      <w:r w:rsidR="00D71BAC" w:rsidRPr="00421157">
        <w:rPr>
          <w:szCs w:val="24"/>
        </w:rPr>
        <w:t xml:space="preserve"> a power purchase agreement (</w:t>
      </w:r>
      <w:r w:rsidR="008E2FDE">
        <w:rPr>
          <w:szCs w:val="24"/>
        </w:rPr>
        <w:t>“</w:t>
      </w:r>
      <w:r w:rsidR="00D71BAC" w:rsidRPr="00421157">
        <w:rPr>
          <w:szCs w:val="24"/>
        </w:rPr>
        <w:t>PPA</w:t>
      </w:r>
      <w:r w:rsidR="008E2FDE">
        <w:rPr>
          <w:szCs w:val="24"/>
        </w:rPr>
        <w:t>”</w:t>
      </w:r>
      <w:r w:rsidR="00D71BAC" w:rsidRPr="00421157">
        <w:rPr>
          <w:szCs w:val="24"/>
        </w:rPr>
        <w:t xml:space="preserve">), </w:t>
      </w:r>
      <w:r w:rsidR="00402FB6">
        <w:rPr>
          <w:szCs w:val="24"/>
        </w:rPr>
        <w:t xml:space="preserve">can </w:t>
      </w:r>
      <w:r w:rsidR="00D71BAC" w:rsidRPr="00421157">
        <w:rPr>
          <w:szCs w:val="24"/>
        </w:rPr>
        <w:t xml:space="preserve">take </w:t>
      </w:r>
      <w:r w:rsidR="00BA6DFD">
        <w:rPr>
          <w:szCs w:val="24"/>
        </w:rPr>
        <w:t>several</w:t>
      </w:r>
      <w:r>
        <w:rPr>
          <w:szCs w:val="24"/>
        </w:rPr>
        <w:t xml:space="preserve"> years </w:t>
      </w:r>
      <w:r w:rsidR="00D71BAC" w:rsidRPr="00421157">
        <w:rPr>
          <w:szCs w:val="24"/>
        </w:rPr>
        <w:t xml:space="preserve">to complete. The purpose of this </w:t>
      </w:r>
      <w:r w:rsidR="00F81B2B">
        <w:rPr>
          <w:szCs w:val="24"/>
        </w:rPr>
        <w:t xml:space="preserve">Economic </w:t>
      </w:r>
      <w:r>
        <w:rPr>
          <w:szCs w:val="24"/>
        </w:rPr>
        <w:t xml:space="preserve">and Reliability </w:t>
      </w:r>
      <w:r w:rsidR="00F81B2B">
        <w:rPr>
          <w:szCs w:val="24"/>
        </w:rPr>
        <w:t xml:space="preserve">Study of the </w:t>
      </w:r>
      <w:r>
        <w:rPr>
          <w:szCs w:val="24"/>
        </w:rPr>
        <w:t>Target</w:t>
      </w:r>
      <w:r w:rsidR="00F81B2B">
        <w:rPr>
          <w:szCs w:val="24"/>
        </w:rPr>
        <w:t xml:space="preserve"> Reserve Margin </w:t>
      </w:r>
      <w:r w:rsidR="00402FB6">
        <w:rPr>
          <w:szCs w:val="24"/>
        </w:rPr>
        <w:t>(</w:t>
      </w:r>
      <w:r w:rsidR="008E2FDE">
        <w:rPr>
          <w:szCs w:val="24"/>
        </w:rPr>
        <w:t>“</w:t>
      </w:r>
      <w:r w:rsidR="00402FB6">
        <w:rPr>
          <w:szCs w:val="24"/>
        </w:rPr>
        <w:t>Reserve Margin Study</w:t>
      </w:r>
      <w:r w:rsidR="008E2FDE">
        <w:rPr>
          <w:szCs w:val="24"/>
        </w:rPr>
        <w:t>”</w:t>
      </w:r>
      <w:r w:rsidR="00402FB6">
        <w:rPr>
          <w:szCs w:val="24"/>
        </w:rPr>
        <w:t>)</w:t>
      </w:r>
      <w:r w:rsidR="00402FB6" w:rsidRPr="00421157">
        <w:rPr>
          <w:szCs w:val="24"/>
        </w:rPr>
        <w:t xml:space="preserve"> </w:t>
      </w:r>
      <w:r w:rsidR="00F81B2B">
        <w:rPr>
          <w:szCs w:val="24"/>
        </w:rPr>
        <w:t>for the Southern Company System</w:t>
      </w:r>
      <w:r w:rsidR="00402FB6">
        <w:rPr>
          <w:szCs w:val="24"/>
        </w:rPr>
        <w:t xml:space="preserve"> (</w:t>
      </w:r>
      <w:r w:rsidR="008E2FDE">
        <w:rPr>
          <w:szCs w:val="24"/>
        </w:rPr>
        <w:t>“</w:t>
      </w:r>
      <w:r w:rsidR="00402FB6">
        <w:rPr>
          <w:szCs w:val="24"/>
        </w:rPr>
        <w:t>System</w:t>
      </w:r>
      <w:r w:rsidR="008E2FDE">
        <w:rPr>
          <w:szCs w:val="24"/>
        </w:rPr>
        <w:t>”</w:t>
      </w:r>
      <w:r w:rsidR="00402FB6">
        <w:rPr>
          <w:szCs w:val="24"/>
        </w:rPr>
        <w:t>)</w:t>
      </w:r>
      <w:r w:rsidR="00F81B2B">
        <w:rPr>
          <w:szCs w:val="24"/>
        </w:rPr>
        <w:t xml:space="preserve"> </w:t>
      </w:r>
      <w:r w:rsidR="00D71BAC" w:rsidRPr="00421157">
        <w:rPr>
          <w:szCs w:val="24"/>
        </w:rPr>
        <w:t xml:space="preserve">is to determine the amount of reserve capacity </w:t>
      </w:r>
      <w:r w:rsidR="00F9355F">
        <w:rPr>
          <w:szCs w:val="24"/>
        </w:rPr>
        <w:t>– or the Target Reserve Margin (</w:t>
      </w:r>
      <w:r w:rsidR="008E2FDE">
        <w:rPr>
          <w:szCs w:val="24"/>
        </w:rPr>
        <w:t>“</w:t>
      </w:r>
      <w:r w:rsidR="00F9355F">
        <w:rPr>
          <w:szCs w:val="24"/>
        </w:rPr>
        <w:t>TRM</w:t>
      </w:r>
      <w:r w:rsidR="008E2FDE">
        <w:rPr>
          <w:szCs w:val="24"/>
        </w:rPr>
        <w:t>”</w:t>
      </w:r>
      <w:r w:rsidR="00F9355F">
        <w:rPr>
          <w:szCs w:val="24"/>
        </w:rPr>
        <w:t>)</w:t>
      </w:r>
      <w:r w:rsidR="00DC45BE">
        <w:rPr>
          <w:szCs w:val="24"/>
        </w:rPr>
        <w:t xml:space="preserve"> –</w:t>
      </w:r>
      <w:r w:rsidR="00F9355F">
        <w:rPr>
          <w:szCs w:val="24"/>
        </w:rPr>
        <w:t xml:space="preserve"> </w:t>
      </w:r>
      <w:r w:rsidR="00D71BAC" w:rsidRPr="00421157">
        <w:rPr>
          <w:szCs w:val="24"/>
        </w:rPr>
        <w:t xml:space="preserve">that should be </w:t>
      </w:r>
      <w:r w:rsidR="00F9355F">
        <w:rPr>
          <w:szCs w:val="24"/>
        </w:rPr>
        <w:t xml:space="preserve">maintained on </w:t>
      </w:r>
      <w:r w:rsidR="00402FB6">
        <w:rPr>
          <w:szCs w:val="24"/>
        </w:rPr>
        <w:t xml:space="preserve">the </w:t>
      </w:r>
      <w:r w:rsidR="00F81B2B">
        <w:rPr>
          <w:szCs w:val="24"/>
        </w:rPr>
        <w:t>System.</w:t>
      </w:r>
      <w:r w:rsidR="00F90241">
        <w:rPr>
          <w:szCs w:val="24"/>
        </w:rPr>
        <w:t xml:space="preserve"> The Reserve Margin Study includes</w:t>
      </w:r>
      <w:r w:rsidR="0051775B">
        <w:rPr>
          <w:szCs w:val="24"/>
        </w:rPr>
        <w:t xml:space="preserve"> the companies that participate in the Intercompany Interchange Contract (“IIC”). Specifically, the Reserve Margin Study includes Alabama Power Company, Georgia Power Company, Mississippi Power Company, and the</w:t>
      </w:r>
      <w:r w:rsidR="004362CF">
        <w:rPr>
          <w:szCs w:val="24"/>
        </w:rPr>
        <w:t xml:space="preserve"> portion</w:t>
      </w:r>
      <w:r w:rsidR="0051775B">
        <w:rPr>
          <w:szCs w:val="24"/>
        </w:rPr>
        <w:t xml:space="preserve"> of Southern Power Company</w:t>
      </w:r>
      <w:r w:rsidR="005B7DF2">
        <w:rPr>
          <w:szCs w:val="24"/>
        </w:rPr>
        <w:t xml:space="preserve"> included in the IIC</w:t>
      </w:r>
      <w:r w:rsidR="0051775B">
        <w:rPr>
          <w:szCs w:val="24"/>
        </w:rPr>
        <w:t xml:space="preserve"> (collectively, the “Operating Companies”). </w:t>
      </w:r>
      <w:r w:rsidR="0014453A">
        <w:t xml:space="preserve">Although the </w:t>
      </w:r>
      <w:r w:rsidR="00246DA5">
        <w:t xml:space="preserve">TRM </w:t>
      </w:r>
      <w:r w:rsidR="0014453A">
        <w:t xml:space="preserve">will be used to establish the long-term expansion plan, the </w:t>
      </w:r>
      <w:r w:rsidR="00F12D47">
        <w:t>20</w:t>
      </w:r>
      <w:r w:rsidR="00B12828">
        <w:t>2</w:t>
      </w:r>
      <w:r w:rsidR="00AC3329">
        <w:t>4</w:t>
      </w:r>
      <w:r w:rsidR="00F12D47">
        <w:t xml:space="preserve"> </w:t>
      </w:r>
      <w:r w:rsidR="0014453A">
        <w:t xml:space="preserve">Reserve Margin Study </w:t>
      </w:r>
      <w:r w:rsidR="0014453A" w:rsidRPr="00124600">
        <w:t xml:space="preserve">should not be </w:t>
      </w:r>
      <w:r w:rsidR="00F52EC7">
        <w:t>understood to determine</w:t>
      </w:r>
      <w:r w:rsidR="0014453A" w:rsidRPr="00124600">
        <w:t xml:space="preserve"> one constant reliability index</w:t>
      </w:r>
      <w:r w:rsidR="0014453A">
        <w:t xml:space="preserve"> in perpetuity, but rather should </w:t>
      </w:r>
      <w:r w:rsidR="00DC45BE">
        <w:t xml:space="preserve">be </w:t>
      </w:r>
      <w:r w:rsidR="0014453A">
        <w:t>re-evaluate</w:t>
      </w:r>
      <w:r w:rsidR="00F52EC7">
        <w:t>d</w:t>
      </w:r>
      <w:r w:rsidR="0014453A">
        <w:t xml:space="preserve"> on a periodic basis as the System evolves over time</w:t>
      </w:r>
      <w:r w:rsidR="0014453A" w:rsidRPr="00124600">
        <w:t xml:space="preserve">. </w:t>
      </w:r>
      <w:r w:rsidR="0014453A">
        <w:t xml:space="preserve">The </w:t>
      </w:r>
      <w:r w:rsidR="0014453A" w:rsidRPr="00124600">
        <w:t xml:space="preserve">results of long-term, constant reliability constraints can be </w:t>
      </w:r>
      <w:r w:rsidR="00F63D48">
        <w:t>impacted</w:t>
      </w:r>
      <w:r w:rsidR="0014453A" w:rsidRPr="00124600">
        <w:t xml:space="preserve"> by projected changes in load shapes, unit costs, unit availability, and other factors. The objective is to determine how these constraints af</w:t>
      </w:r>
      <w:r w:rsidR="0014453A">
        <w:t xml:space="preserve">fect </w:t>
      </w:r>
      <w:r w:rsidR="00A560DC">
        <w:t xml:space="preserve">near term </w:t>
      </w:r>
      <w:r w:rsidR="0014453A">
        <w:t>capacity decision</w:t>
      </w:r>
      <w:r w:rsidR="00A560DC">
        <w:t>s</w:t>
      </w:r>
      <w:r w:rsidR="0014453A">
        <w:t>, with subsequent re-evaluations modifying downstream decisions</w:t>
      </w:r>
      <w:r w:rsidR="006B71A1">
        <w:t>,</w:t>
      </w:r>
      <w:r w:rsidR="0014453A">
        <w:t xml:space="preserve"> as appropriate.</w:t>
      </w:r>
    </w:p>
    <w:p w14:paraId="3C8D9401" w14:textId="77777777" w:rsidR="00F44925" w:rsidRDefault="00F44925" w:rsidP="00F46A37">
      <w:pPr>
        <w:rPr>
          <w:szCs w:val="24"/>
        </w:rPr>
      </w:pPr>
    </w:p>
    <w:p w14:paraId="3CC420AE" w14:textId="6213FD83" w:rsidR="00F46A37" w:rsidRDefault="00F46A37" w:rsidP="00F46A37">
      <w:pPr>
        <w:rPr>
          <w:szCs w:val="24"/>
        </w:rPr>
      </w:pPr>
      <w:r>
        <w:rPr>
          <w:szCs w:val="24"/>
        </w:rPr>
        <w:t xml:space="preserve">This report recommends Winter and Summer TRMs </w:t>
      </w:r>
      <w:r w:rsidR="00F44925">
        <w:rPr>
          <w:szCs w:val="24"/>
        </w:rPr>
        <w:t>stated in terms of seasonal peak demands and seasonal capacity ratings according to the</w:t>
      </w:r>
      <w:r>
        <w:rPr>
          <w:szCs w:val="24"/>
        </w:rPr>
        <w:t xml:space="preserve"> following formula:</w:t>
      </w:r>
    </w:p>
    <w:p w14:paraId="4B269418" w14:textId="77777777" w:rsidR="00F46A37" w:rsidRDefault="00F46A37" w:rsidP="00F46A37">
      <w:pPr>
        <w:rPr>
          <w:szCs w:val="24"/>
        </w:rPr>
      </w:pPr>
    </w:p>
    <w:p w14:paraId="220C313D" w14:textId="47D70BAC" w:rsidR="00F46A37" w:rsidRDefault="00F46A37" w:rsidP="00F46A37">
      <w:pPr>
        <w:rPr>
          <w:szCs w:val="24"/>
        </w:rPr>
      </w:pPr>
      <m:oMathPara>
        <m:oMath>
          <m:r>
            <w:rPr>
              <w:rFonts w:ascii="Cambria Math" w:hAnsi="Cambria Math"/>
              <w:szCs w:val="24"/>
            </w:rPr>
            <m:t>TR</m:t>
          </m:r>
          <m:sSub>
            <m:sSubPr>
              <m:ctrlPr>
                <w:rPr>
                  <w:rFonts w:ascii="Cambria Math" w:hAnsi="Cambria Math"/>
                  <w:i/>
                  <w:szCs w:val="24"/>
                </w:rPr>
              </m:ctrlPr>
            </m:sSubPr>
            <m:e>
              <m:r>
                <w:rPr>
                  <w:rFonts w:ascii="Cambria Math" w:hAnsi="Cambria Math"/>
                  <w:szCs w:val="24"/>
                </w:rPr>
                <m:t>M</m:t>
              </m:r>
            </m:e>
            <m:sub>
              <m:r>
                <w:rPr>
                  <w:rFonts w:ascii="Cambria Math" w:hAnsi="Cambria Math"/>
                  <w:szCs w:val="24"/>
                </w:rPr>
                <m:t>S</m:t>
              </m:r>
            </m:sub>
          </m:sSub>
          <m:r>
            <w:rPr>
              <w:rFonts w:ascii="Cambria Math" w:hAnsi="Cambria Math"/>
              <w:szCs w:val="24"/>
            </w:rPr>
            <m:t>=</m:t>
          </m:r>
          <m:f>
            <m:fPr>
              <m:ctrlPr>
                <w:rPr>
                  <w:rFonts w:ascii="Cambria Math" w:hAnsi="Cambria Math"/>
                  <w:i/>
                  <w:szCs w:val="24"/>
                </w:rPr>
              </m:ctrlPr>
            </m:fPr>
            <m:num>
              <m:r>
                <w:rPr>
                  <w:rFonts w:ascii="Cambria Math" w:hAnsi="Cambria Math"/>
                  <w:szCs w:val="24"/>
                </w:rPr>
                <m:t>T</m:t>
              </m:r>
              <m:sSub>
                <m:sSubPr>
                  <m:ctrlPr>
                    <w:rPr>
                      <w:rFonts w:ascii="Cambria Math" w:hAnsi="Cambria Math"/>
                      <w:i/>
                      <w:szCs w:val="24"/>
                    </w:rPr>
                  </m:ctrlPr>
                </m:sSubPr>
                <m:e>
                  <m:r>
                    <w:rPr>
                      <w:rFonts w:ascii="Cambria Math" w:hAnsi="Cambria Math"/>
                      <w:szCs w:val="24"/>
                    </w:rPr>
                    <m:t>C</m:t>
                  </m:r>
                </m:e>
                <m:sub>
                  <m:r>
                    <w:rPr>
                      <w:rFonts w:ascii="Cambria Math" w:hAnsi="Cambria Math"/>
                      <w:szCs w:val="24"/>
                    </w:rPr>
                    <m:t>S</m:t>
                  </m:r>
                </m:sub>
              </m:sSub>
              <m:r>
                <w:rPr>
                  <w:rFonts w:ascii="Cambria Math" w:hAnsi="Cambria Math"/>
                  <w:szCs w:val="24"/>
                </w:rPr>
                <m:t>-P</m:t>
              </m:r>
              <m:sSub>
                <m:sSubPr>
                  <m:ctrlPr>
                    <w:rPr>
                      <w:rFonts w:ascii="Cambria Math" w:hAnsi="Cambria Math"/>
                      <w:i/>
                      <w:szCs w:val="24"/>
                    </w:rPr>
                  </m:ctrlPr>
                </m:sSubPr>
                <m:e>
                  <m:r>
                    <w:rPr>
                      <w:rFonts w:ascii="Cambria Math" w:hAnsi="Cambria Math"/>
                      <w:szCs w:val="24"/>
                    </w:rPr>
                    <m:t>L</m:t>
                  </m:r>
                </m:e>
                <m:sub>
                  <m:r>
                    <w:rPr>
                      <w:rFonts w:ascii="Cambria Math" w:hAnsi="Cambria Math"/>
                      <w:szCs w:val="24"/>
                    </w:rPr>
                    <m:t>S</m:t>
                  </m:r>
                </m:sub>
              </m:sSub>
            </m:num>
            <m:den>
              <m:r>
                <w:rPr>
                  <w:rFonts w:ascii="Cambria Math" w:hAnsi="Cambria Math"/>
                  <w:szCs w:val="24"/>
                </w:rPr>
                <m:t>P</m:t>
              </m:r>
              <m:sSub>
                <m:sSubPr>
                  <m:ctrlPr>
                    <w:rPr>
                      <w:rFonts w:ascii="Cambria Math" w:hAnsi="Cambria Math"/>
                      <w:i/>
                      <w:szCs w:val="24"/>
                    </w:rPr>
                  </m:ctrlPr>
                </m:sSubPr>
                <m:e>
                  <m:r>
                    <w:rPr>
                      <w:rFonts w:ascii="Cambria Math" w:hAnsi="Cambria Math"/>
                      <w:szCs w:val="24"/>
                    </w:rPr>
                    <m:t>L</m:t>
                  </m:r>
                </m:e>
                <m:sub>
                  <m:r>
                    <w:rPr>
                      <w:rFonts w:ascii="Cambria Math" w:hAnsi="Cambria Math"/>
                      <w:szCs w:val="24"/>
                    </w:rPr>
                    <m:t>S</m:t>
                  </m:r>
                </m:sub>
              </m:sSub>
            </m:den>
          </m:f>
          <m:r>
            <w:rPr>
              <w:rFonts w:ascii="Cambria Math" w:hAnsi="Cambria Math"/>
              <w:szCs w:val="24"/>
            </w:rPr>
            <m:t>x 100%</m:t>
          </m:r>
        </m:oMath>
      </m:oMathPara>
    </w:p>
    <w:p w14:paraId="48C9C6CE" w14:textId="77777777" w:rsidR="00F46A37" w:rsidRDefault="00F46A37" w:rsidP="00F46A37">
      <w:pPr>
        <w:rPr>
          <w:szCs w:val="24"/>
        </w:rPr>
      </w:pPr>
    </w:p>
    <w:p w14:paraId="7FDC97E9" w14:textId="77777777" w:rsidR="00F46A37" w:rsidRDefault="00F46A37" w:rsidP="00F46A37">
      <w:pPr>
        <w:rPr>
          <w:szCs w:val="24"/>
        </w:rPr>
      </w:pPr>
      <w:r>
        <w:rPr>
          <w:szCs w:val="24"/>
        </w:rPr>
        <w:t>Where:</w:t>
      </w:r>
    </w:p>
    <w:p w14:paraId="4CBCC5FF" w14:textId="23B75898" w:rsidR="00F46A37" w:rsidRDefault="00F46A37" w:rsidP="00F46A37">
      <w:pPr>
        <w:rPr>
          <w:szCs w:val="24"/>
        </w:rPr>
      </w:pPr>
      <w:r>
        <w:rPr>
          <w:szCs w:val="24"/>
        </w:rPr>
        <w:t>TRM</w:t>
      </w:r>
      <w:r w:rsidR="008A2C33" w:rsidRPr="008A2C33">
        <w:rPr>
          <w:szCs w:val="24"/>
          <w:vertAlign w:val="subscript"/>
        </w:rPr>
        <w:t>S</w:t>
      </w:r>
      <w:r>
        <w:rPr>
          <w:szCs w:val="24"/>
        </w:rPr>
        <w:t xml:space="preserve"> = </w:t>
      </w:r>
      <w:r w:rsidR="00740F82">
        <w:rPr>
          <w:szCs w:val="24"/>
        </w:rPr>
        <w:t xml:space="preserve">Seasonal </w:t>
      </w:r>
      <w:r>
        <w:rPr>
          <w:szCs w:val="24"/>
        </w:rPr>
        <w:t>Target Reserve Margin;</w:t>
      </w:r>
    </w:p>
    <w:p w14:paraId="0104A753" w14:textId="6FDFF474" w:rsidR="00F46A37" w:rsidRDefault="00F46A37" w:rsidP="00F46A37">
      <w:pPr>
        <w:rPr>
          <w:szCs w:val="24"/>
        </w:rPr>
      </w:pPr>
      <w:r>
        <w:rPr>
          <w:szCs w:val="24"/>
        </w:rPr>
        <w:t>TC</w:t>
      </w:r>
      <w:r w:rsidR="008A2C33" w:rsidRPr="008A2C33">
        <w:rPr>
          <w:szCs w:val="24"/>
          <w:vertAlign w:val="subscript"/>
        </w:rPr>
        <w:t>S</w:t>
      </w:r>
      <w:r>
        <w:rPr>
          <w:szCs w:val="24"/>
        </w:rPr>
        <w:t xml:space="preserve"> = Total </w:t>
      </w:r>
      <w:r w:rsidR="008A2C33">
        <w:rPr>
          <w:szCs w:val="24"/>
        </w:rPr>
        <w:t>Seasonal</w:t>
      </w:r>
      <w:r>
        <w:rPr>
          <w:szCs w:val="24"/>
        </w:rPr>
        <w:t xml:space="preserve"> Capacity; and</w:t>
      </w:r>
    </w:p>
    <w:p w14:paraId="2A93CCE8" w14:textId="406D5F0A" w:rsidR="00F46A37" w:rsidRDefault="00F46A37" w:rsidP="00F46A37">
      <w:pPr>
        <w:rPr>
          <w:szCs w:val="24"/>
        </w:rPr>
      </w:pPr>
      <w:r>
        <w:rPr>
          <w:szCs w:val="24"/>
        </w:rPr>
        <w:t>PL</w:t>
      </w:r>
      <w:r w:rsidR="00F44925" w:rsidRPr="00F44925">
        <w:rPr>
          <w:szCs w:val="24"/>
          <w:vertAlign w:val="subscript"/>
        </w:rPr>
        <w:t>S</w:t>
      </w:r>
      <w:r>
        <w:rPr>
          <w:szCs w:val="24"/>
        </w:rPr>
        <w:t xml:space="preserve"> = </w:t>
      </w:r>
      <w:r w:rsidR="00F44925">
        <w:rPr>
          <w:szCs w:val="24"/>
        </w:rPr>
        <w:t xml:space="preserve">Seasonal </w:t>
      </w:r>
      <w:r>
        <w:rPr>
          <w:szCs w:val="24"/>
        </w:rPr>
        <w:t>Peak Load.</w:t>
      </w:r>
    </w:p>
    <w:p w14:paraId="52798401" w14:textId="0A0D4663" w:rsidR="007140F8" w:rsidRDefault="007140F8" w:rsidP="00217F0E">
      <w:pPr>
        <w:rPr>
          <w:szCs w:val="24"/>
        </w:rPr>
      </w:pPr>
    </w:p>
    <w:p w14:paraId="7EB0B8C6" w14:textId="77777777" w:rsidR="007140F8" w:rsidRDefault="007140F8" w:rsidP="00217F0E">
      <w:pPr>
        <w:rPr>
          <w:szCs w:val="24"/>
        </w:rPr>
      </w:pPr>
    </w:p>
    <w:p w14:paraId="1FAFF0EF" w14:textId="1571B1C2" w:rsidR="00F46A37" w:rsidRDefault="11A405EA" w:rsidP="00217F0E">
      <w:r>
        <w:lastRenderedPageBreak/>
        <w:t xml:space="preserve">Beginning </w:t>
      </w:r>
      <w:r w:rsidR="1C48D6A3">
        <w:t>with</w:t>
      </w:r>
      <w:r>
        <w:t xml:space="preserve"> the</w:t>
      </w:r>
      <w:r w:rsidR="35F81B0E">
        <w:t xml:space="preserve"> 2018</w:t>
      </w:r>
      <w:r w:rsidR="220B189F">
        <w:t xml:space="preserve"> </w:t>
      </w:r>
      <w:r w:rsidR="35F81B0E">
        <w:t>Reserve Margin Stud</w:t>
      </w:r>
      <w:r w:rsidR="63649BA5">
        <w:t>y</w:t>
      </w:r>
      <w:r w:rsidR="4E07A195">
        <w:t>,</w:t>
      </w:r>
      <w:r w:rsidR="35F81B0E">
        <w:t xml:space="preserve"> winter reliability </w:t>
      </w:r>
      <w:r w:rsidR="009D56C5">
        <w:t>elements</w:t>
      </w:r>
      <w:r w:rsidR="4F908938">
        <w:t xml:space="preserve"> were evaluated </w:t>
      </w:r>
      <w:r w:rsidR="006D7012">
        <w:t>that</w:t>
      </w:r>
      <w:r w:rsidR="4F908938">
        <w:t xml:space="preserve"> had not been fully </w:t>
      </w:r>
      <w:r w:rsidR="35F81B0E">
        <w:t>captured in previous studies.</w:t>
      </w:r>
      <w:r w:rsidR="00125BE4">
        <w:t xml:space="preserve"> </w:t>
      </w:r>
      <w:r w:rsidR="46425606">
        <w:t>The</w:t>
      </w:r>
      <w:r w:rsidR="35F81B0E">
        <w:t xml:space="preserve">se </w:t>
      </w:r>
      <w:r w:rsidR="009D56C5">
        <w:t>factors</w:t>
      </w:r>
      <w:r w:rsidR="00785BDC">
        <w:t xml:space="preserve"> persist</w:t>
      </w:r>
      <w:r w:rsidR="7D9DA49B">
        <w:t xml:space="preserve"> in the 202</w:t>
      </w:r>
      <w:r w:rsidR="4A317E5C">
        <w:t>4</w:t>
      </w:r>
      <w:r w:rsidR="7D9DA49B">
        <w:t xml:space="preserve"> Reserve Margin Study.</w:t>
      </w:r>
      <w:r w:rsidR="677A72B6">
        <w:t xml:space="preserve"> Because winter peak loads are different than summer peak loads (lower for a summer peaking utility</w:t>
      </w:r>
      <w:r w:rsidR="0682C3C0">
        <w:t xml:space="preserve"> in normal weather conditions but more volatile</w:t>
      </w:r>
      <w:r w:rsidR="677A72B6">
        <w:t xml:space="preserve">) and because winter generating capacity can have different operational characteristics than summer generating capacity, the Winter TRM can be higher than the Summer TRM. </w:t>
      </w:r>
      <w:r w:rsidR="515C094A">
        <w:t xml:space="preserve">Additionally, most resources on the </w:t>
      </w:r>
      <w:r w:rsidR="10572C4D">
        <w:t>S</w:t>
      </w:r>
      <w:r w:rsidR="515C094A">
        <w:t xml:space="preserve">ystem are capable of dispatching </w:t>
      </w:r>
      <w:r w:rsidR="0082045E">
        <w:t xml:space="preserve">throughout the year </w:t>
      </w:r>
      <w:r w:rsidR="515C094A">
        <w:t>and</w:t>
      </w:r>
      <w:r w:rsidR="00785BDC">
        <w:t xml:space="preserve"> are</w:t>
      </w:r>
      <w:r w:rsidR="515C094A">
        <w:t xml:space="preserve"> not restricted to only winter months. Taking this into consideration, the Company’s evaluation considers the Loss of Load Expectation (“LOLE”) in each season. The </w:t>
      </w:r>
      <w:r w:rsidR="1AE4E5BF">
        <w:t>Reserve Margin Study</w:t>
      </w:r>
      <w:r w:rsidR="515C094A">
        <w:t xml:space="preserve"> recommendation ensures that the combined seasonal LOLEs equate to an annual LOLE </w:t>
      </w:r>
      <w:r w:rsidR="677A72B6">
        <w:t>at or above</w:t>
      </w:r>
      <w:r w:rsidR="1AE4E5BF">
        <w:t xml:space="preserve"> a one event in ten years threshold (“1:10 LOLE”)</w:t>
      </w:r>
      <w:r w:rsidR="677A72B6">
        <w:t>.</w:t>
      </w:r>
    </w:p>
    <w:p w14:paraId="28C9A89D" w14:textId="77777777" w:rsidR="00BA6DFD" w:rsidRDefault="00BA6DFD" w:rsidP="00F9355F">
      <w:pPr>
        <w:rPr>
          <w:szCs w:val="24"/>
        </w:rPr>
      </w:pPr>
    </w:p>
    <w:p w14:paraId="5B56608E" w14:textId="55FC92BB" w:rsidR="00D71BAC" w:rsidRDefault="00F9355F" w:rsidP="00F9355F">
      <w:r>
        <w:t>Reserve Margins are necessary because of uncertainties in operational conditions. The four</w:t>
      </w:r>
      <w:r w:rsidR="00D71BAC">
        <w:t xml:space="preserve"> primary </w:t>
      </w:r>
      <w:r>
        <w:t>uncertainties</w:t>
      </w:r>
      <w:r w:rsidR="00D25B56">
        <w:t xml:space="preserve"> influencing the TRM</w:t>
      </w:r>
      <w:r>
        <w:t xml:space="preserve"> are</w:t>
      </w:r>
      <w:r w:rsidR="00D71BAC">
        <w:t xml:space="preserve">: </w:t>
      </w:r>
    </w:p>
    <w:p w14:paraId="26B25AE3" w14:textId="32FE046D" w:rsidR="00D71BAC" w:rsidRPr="00F81B2B" w:rsidRDefault="00D71BAC" w:rsidP="000D0EAB">
      <w:pPr>
        <w:pStyle w:val="ListParagraph"/>
        <w:numPr>
          <w:ilvl w:val="0"/>
          <w:numId w:val="2"/>
        </w:numPr>
        <w:spacing w:before="240"/>
      </w:pPr>
      <w:r w:rsidRPr="11BB3CF8">
        <w:rPr>
          <w:b/>
          <w:bCs/>
        </w:rPr>
        <w:t>Weather</w:t>
      </w:r>
      <w:r w:rsidRPr="00372AC4">
        <w:rPr>
          <w:szCs w:val="24"/>
        </w:rPr>
        <w:t xml:space="preserve">: </w:t>
      </w:r>
      <w:r w:rsidR="00F81B2B" w:rsidRPr="11BB3CF8">
        <w:t>The</w:t>
      </w:r>
      <w:r w:rsidR="00FC6A99" w:rsidRPr="11BB3CF8">
        <w:t xml:space="preserve"> System</w:t>
      </w:r>
      <w:r w:rsidRPr="11BB3CF8">
        <w:t xml:space="preserve">’s </w:t>
      </w:r>
      <w:r w:rsidR="008E2FDE">
        <w:rPr>
          <w:szCs w:val="24"/>
        </w:rPr>
        <w:t>“</w:t>
      </w:r>
      <w:r w:rsidR="000D7B59" w:rsidRPr="11BB3CF8">
        <w:t>weather</w:t>
      </w:r>
      <w:r w:rsidR="003D08F8">
        <w:rPr>
          <w:szCs w:val="24"/>
        </w:rPr>
        <w:t>-</w:t>
      </w:r>
      <w:r w:rsidR="000D7B59" w:rsidRPr="11BB3CF8">
        <w:t>normal</w:t>
      </w:r>
      <w:r w:rsidR="008E2FDE">
        <w:rPr>
          <w:szCs w:val="24"/>
        </w:rPr>
        <w:t>”</w:t>
      </w:r>
      <w:r w:rsidR="000D7B59">
        <w:rPr>
          <w:szCs w:val="24"/>
        </w:rPr>
        <w:t xml:space="preserve"> </w:t>
      </w:r>
      <w:r w:rsidRPr="11BB3CF8">
        <w:t xml:space="preserve">load forecasts </w:t>
      </w:r>
      <w:r w:rsidR="00F21FD3">
        <w:t xml:space="preserve">used for long-term capacity expansion analyses </w:t>
      </w:r>
      <w:r w:rsidRPr="11BB3CF8">
        <w:t>are based on average weather conditions over the past</w:t>
      </w:r>
      <w:r w:rsidR="003978AE" w:rsidRPr="11BB3CF8">
        <w:t xml:space="preserve"> 30+ </w:t>
      </w:r>
      <w:r w:rsidRPr="11BB3CF8">
        <w:t xml:space="preserve">years. If the weather is hotter than normal during warm seasons or colder than normal during cold seasons, the load will be higher. </w:t>
      </w:r>
      <w:r w:rsidR="00687966" w:rsidRPr="11BB3CF8">
        <w:t>The System’s peak demand</w:t>
      </w:r>
      <w:r w:rsidRPr="11BB3CF8">
        <w:t xml:space="preserve"> can be as much as </w:t>
      </w:r>
      <w:r w:rsidR="006A3F72" w:rsidRPr="11BB3CF8">
        <w:t>1</w:t>
      </w:r>
      <w:r w:rsidR="00B12B21" w:rsidRPr="11BB3CF8">
        <w:t>1</w:t>
      </w:r>
      <w:r w:rsidR="006A3F72">
        <w:rPr>
          <w:szCs w:val="24"/>
        </w:rPr>
        <w:t>.</w:t>
      </w:r>
      <w:r w:rsidR="00B12B21" w:rsidRPr="11BB3CF8">
        <w:t>1</w:t>
      </w:r>
      <w:r w:rsidRPr="11BB3CF8">
        <w:t xml:space="preserve">% higher in a hot summer year and </w:t>
      </w:r>
      <w:r w:rsidR="00B12B21" w:rsidRPr="11BB3CF8">
        <w:t>24.5</w:t>
      </w:r>
      <w:r w:rsidRPr="11BB3CF8">
        <w:t>% higher in a cold winter year</w:t>
      </w:r>
      <w:r w:rsidR="00CC0F8D">
        <w:rPr>
          <w:szCs w:val="24"/>
        </w:rPr>
        <w:t xml:space="preserve"> </w:t>
      </w:r>
      <w:r w:rsidRPr="11BB3CF8">
        <w:t>than in an average</w:t>
      </w:r>
      <w:r w:rsidR="00402FB6">
        <w:rPr>
          <w:szCs w:val="24"/>
        </w:rPr>
        <w:t xml:space="preserve"> </w:t>
      </w:r>
      <w:r w:rsidRPr="11BB3CF8">
        <w:t>year.</w:t>
      </w:r>
      <w:r w:rsidR="00EC0D4D" w:rsidRPr="11BB3CF8">
        <w:rPr>
          <w:rStyle w:val="FootnoteReference"/>
        </w:rPr>
        <w:footnoteReference w:id="2"/>
      </w:r>
      <w:r w:rsidRPr="11BB3CF8">
        <w:t xml:space="preserve"> Drought conditions and </w:t>
      </w:r>
      <w:r w:rsidR="00852F8A" w:rsidRPr="11BB3CF8">
        <w:t>temperature</w:t>
      </w:r>
      <w:r w:rsidR="00852F8A">
        <w:rPr>
          <w:szCs w:val="24"/>
        </w:rPr>
        <w:t>-</w:t>
      </w:r>
      <w:r w:rsidRPr="11BB3CF8">
        <w:t>related impacts on unit outputs can also significantly affect the</w:t>
      </w:r>
      <w:r w:rsidR="00402FB6" w:rsidRPr="11BB3CF8">
        <w:t xml:space="preserve"> System’s </w:t>
      </w:r>
      <w:r w:rsidRPr="11BB3CF8">
        <w:t xml:space="preserve">load and capacity balance. </w:t>
      </w:r>
    </w:p>
    <w:p w14:paraId="23558178" w14:textId="415B910A" w:rsidR="00D71BAC" w:rsidRPr="00603690" w:rsidRDefault="3E0F5F84" w:rsidP="009758AA">
      <w:pPr>
        <w:pStyle w:val="ListParagraph"/>
        <w:numPr>
          <w:ilvl w:val="0"/>
          <w:numId w:val="2"/>
        </w:numPr>
      </w:pPr>
      <w:r w:rsidRPr="3B44DD63" w:rsidDel="0074039D">
        <w:rPr>
          <w:b/>
          <w:bCs/>
        </w:rPr>
        <w:t xml:space="preserve">Load </w:t>
      </w:r>
      <w:r w:rsidR="2A0AEDCD" w:rsidRPr="3B44DD63" w:rsidDel="0074039D">
        <w:rPr>
          <w:b/>
          <w:bCs/>
        </w:rPr>
        <w:t>Forecast</w:t>
      </w:r>
      <w:r w:rsidR="222F63B0" w:rsidRPr="00372AC4">
        <w:rPr>
          <w:szCs w:val="24"/>
        </w:rPr>
        <w:t xml:space="preserve">: </w:t>
      </w:r>
      <w:r w:rsidR="5616248A" w:rsidRPr="3B44DD63">
        <w:t xml:space="preserve">There is inherent error </w:t>
      </w:r>
      <w:r w:rsidR="009D56C5">
        <w:t>in</w:t>
      </w:r>
      <w:r w:rsidR="5616248A" w:rsidRPr="3B44DD63">
        <w:t xml:space="preserve"> load forecasting models. The </w:t>
      </w:r>
      <w:r w:rsidR="2A0AEDCD" w:rsidRPr="3B44DD63">
        <w:t>load forecast error</w:t>
      </w:r>
      <w:r w:rsidR="006D7012">
        <w:t xml:space="preserve"> (“LFE”)</w:t>
      </w:r>
      <w:r w:rsidR="59C65856" w:rsidRPr="3B44DD63">
        <w:t xml:space="preserve"> is the </w:t>
      </w:r>
      <w:r w:rsidR="5616248A" w:rsidRPr="3B44DD63">
        <w:t xml:space="preserve">combined model error representing actual load to model-fitted load and economic input </w:t>
      </w:r>
      <w:r w:rsidR="00B47C8C">
        <w:t>uncertainty</w:t>
      </w:r>
      <w:r w:rsidR="5616248A" w:rsidRPr="3B44DD63">
        <w:t xml:space="preserve"> representing energy forecast differences between high and low economic scenarios</w:t>
      </w:r>
      <w:r w:rsidR="59C65856">
        <w:rPr>
          <w:szCs w:val="24"/>
        </w:rPr>
        <w:t>.</w:t>
      </w:r>
      <w:r w:rsidR="007342AB" w:rsidRPr="3B44DD63">
        <w:rPr>
          <w:rStyle w:val="FootnoteReference"/>
        </w:rPr>
        <w:footnoteReference w:id="3"/>
      </w:r>
      <w:r w:rsidR="59C65856" w:rsidRPr="3B44DD63">
        <w:t xml:space="preserve"> Based on current </w:t>
      </w:r>
      <w:r w:rsidR="358D7BD9" w:rsidRPr="3B44DD63">
        <w:t xml:space="preserve">error </w:t>
      </w:r>
      <w:r w:rsidR="59C65856" w:rsidRPr="3B44DD63">
        <w:t xml:space="preserve">assumptions, </w:t>
      </w:r>
      <w:r w:rsidR="358D7BD9" w:rsidRPr="3B44DD63">
        <w:t xml:space="preserve">peak demand may be </w:t>
      </w:r>
      <w:r w:rsidR="4709A4F5" w:rsidRPr="3B44DD63">
        <w:t xml:space="preserve">up to </w:t>
      </w:r>
      <w:r w:rsidR="358D7BD9" w:rsidRPr="3B44DD63">
        <w:t>5.</w:t>
      </w:r>
      <w:r w:rsidR="35F81B0E" w:rsidRPr="3B44DD63">
        <w:t>2</w:t>
      </w:r>
      <w:r w:rsidR="358D7BD9" w:rsidRPr="3B44DD63">
        <w:t xml:space="preserve">% more than </w:t>
      </w:r>
      <w:r w:rsidR="3C98275F" w:rsidRPr="3B44DD63">
        <w:t>forecasted</w:t>
      </w:r>
      <w:r w:rsidR="009D56C5">
        <w:t xml:space="preserve"> or as low as 6.1% less than forecasted</w:t>
      </w:r>
      <w:r w:rsidR="358D7BD9" w:rsidRPr="3B44DD63">
        <w:t>.</w:t>
      </w:r>
      <w:r w:rsidR="00EC0D4D" w:rsidRPr="3B44DD63">
        <w:rPr>
          <w:rStyle w:val="FootnoteReference"/>
        </w:rPr>
        <w:footnoteReference w:id="4"/>
      </w:r>
      <w:r w:rsidR="222F63B0" w:rsidRPr="009758AA">
        <w:rPr>
          <w:szCs w:val="24"/>
        </w:rPr>
        <w:t xml:space="preserve"> </w:t>
      </w:r>
    </w:p>
    <w:p w14:paraId="2254AB9E" w14:textId="64494058" w:rsidR="00D71BAC" w:rsidRPr="00372AC4" w:rsidRDefault="00D71BAC" w:rsidP="00C56A27">
      <w:pPr>
        <w:pStyle w:val="ListParagraph"/>
        <w:numPr>
          <w:ilvl w:val="0"/>
          <w:numId w:val="2"/>
        </w:numPr>
      </w:pPr>
      <w:r w:rsidRPr="5508F194">
        <w:rPr>
          <w:b/>
        </w:rPr>
        <w:t>Unit Performance</w:t>
      </w:r>
      <w:r w:rsidRPr="00372AC4">
        <w:rPr>
          <w:szCs w:val="24"/>
        </w:rPr>
        <w:t xml:space="preserve">: </w:t>
      </w:r>
      <w:r w:rsidRPr="5508F194">
        <w:t xml:space="preserve">While the </w:t>
      </w:r>
      <w:r w:rsidR="0051775B" w:rsidRPr="5508F194">
        <w:t>Operating Companies</w:t>
      </w:r>
      <w:r w:rsidR="0051775B" w:rsidDel="0051775B">
        <w:rPr>
          <w:szCs w:val="24"/>
        </w:rPr>
        <w:t xml:space="preserve"> </w:t>
      </w:r>
      <w:r w:rsidRPr="5508F194">
        <w:t>ha</w:t>
      </w:r>
      <w:r w:rsidR="00180D42" w:rsidRPr="5508F194">
        <w:t>ve</w:t>
      </w:r>
      <w:r w:rsidRPr="5508F194">
        <w:t xml:space="preserve"> a tremendous track record in keeping forced outage rates</w:t>
      </w:r>
      <w:r w:rsidR="00987CF3" w:rsidRPr="5508F194">
        <w:t xml:space="preserve"> low</w:t>
      </w:r>
      <w:r w:rsidR="122D2861">
        <w:t xml:space="preserve"> and </w:t>
      </w:r>
      <w:r w:rsidR="7AA6B97F">
        <w:t xml:space="preserve">availability high </w:t>
      </w:r>
      <w:r w:rsidR="68C2FA90">
        <w:t xml:space="preserve">for the </w:t>
      </w:r>
      <w:r w:rsidR="1E084C1E">
        <w:t>S</w:t>
      </w:r>
      <w:r w:rsidR="68C2FA90">
        <w:t>ystem</w:t>
      </w:r>
      <w:r w:rsidRPr="5508F194">
        <w:t xml:space="preserve">, there have been </w:t>
      </w:r>
      <w:r w:rsidRPr="5508F194">
        <w:lastRenderedPageBreak/>
        <w:t>occasions</w:t>
      </w:r>
      <w:r w:rsidR="00FC6A99" w:rsidRPr="5508F194">
        <w:t xml:space="preserve"> in the last </w:t>
      </w:r>
      <w:r w:rsidR="009758AA" w:rsidRPr="5508F194">
        <w:t>fifteen</w:t>
      </w:r>
      <w:r w:rsidR="00FC6A99" w:rsidRPr="5508F194">
        <w:t xml:space="preserve"> years</w:t>
      </w:r>
      <w:r w:rsidRPr="5508F194">
        <w:t xml:space="preserve"> when </w:t>
      </w:r>
      <w:r w:rsidR="00217F0E" w:rsidRPr="5508F194">
        <w:t>more than</w:t>
      </w:r>
      <w:r w:rsidR="00CC0F8D" w:rsidRPr="005C2F67">
        <w:rPr>
          <w:szCs w:val="24"/>
        </w:rPr>
        <w:t xml:space="preserve"> </w:t>
      </w:r>
      <w:r w:rsidR="00217F0E" w:rsidRPr="5508F194">
        <w:t>10</w:t>
      </w:r>
      <w:r w:rsidRPr="005C2F67">
        <w:rPr>
          <w:szCs w:val="24"/>
        </w:rPr>
        <w:t>%</w:t>
      </w:r>
      <w:r w:rsidRPr="5508F194">
        <w:t xml:space="preserve"> of the capacity of the </w:t>
      </w:r>
      <w:r w:rsidR="289B45DC" w:rsidRPr="5508F194">
        <w:t>S</w:t>
      </w:r>
      <w:r w:rsidRPr="5508F194">
        <w:t>ystem has been in a forced outage state concurrently.</w:t>
      </w:r>
      <w:r w:rsidR="00EC0D4D" w:rsidRPr="5508F194">
        <w:rPr>
          <w:rStyle w:val="FootnoteReference"/>
        </w:rPr>
        <w:footnoteReference w:id="5"/>
      </w:r>
      <w:r w:rsidRPr="00372AC4">
        <w:rPr>
          <w:szCs w:val="24"/>
        </w:rPr>
        <w:t xml:space="preserve"> </w:t>
      </w:r>
    </w:p>
    <w:p w14:paraId="254889C4" w14:textId="30451848" w:rsidR="00D71BAC" w:rsidRDefault="00FC6A99" w:rsidP="00C56A27">
      <w:pPr>
        <w:pStyle w:val="ListParagraph"/>
        <w:numPr>
          <w:ilvl w:val="0"/>
          <w:numId w:val="2"/>
        </w:numPr>
        <w:rPr>
          <w:szCs w:val="24"/>
        </w:rPr>
      </w:pPr>
      <w:r w:rsidRPr="001657AE">
        <w:rPr>
          <w:b/>
          <w:szCs w:val="24"/>
        </w:rPr>
        <w:t>Market Availability Risk</w:t>
      </w:r>
      <w:r>
        <w:rPr>
          <w:szCs w:val="24"/>
        </w:rPr>
        <w:t>:</w:t>
      </w:r>
      <w:r w:rsidR="00F73B66">
        <w:rPr>
          <w:szCs w:val="24"/>
        </w:rPr>
        <w:t xml:space="preserve"> The ability to obtain resources from the market when needed to </w:t>
      </w:r>
      <w:r w:rsidR="00402FB6">
        <w:rPr>
          <w:szCs w:val="24"/>
        </w:rPr>
        <w:t>address</w:t>
      </w:r>
      <w:r w:rsidR="00F73B66">
        <w:rPr>
          <w:szCs w:val="24"/>
        </w:rPr>
        <w:t xml:space="preserve"> a short-term System resource adequacy issue </w:t>
      </w:r>
      <w:r w:rsidR="00CF31ED">
        <w:rPr>
          <w:szCs w:val="24"/>
        </w:rPr>
        <w:t>can vary</w:t>
      </w:r>
      <w:r w:rsidR="00F73B66">
        <w:rPr>
          <w:szCs w:val="24"/>
        </w:rPr>
        <w:t xml:space="preserve">. In general, having access to </w:t>
      </w:r>
      <w:r w:rsidR="00CB0D18">
        <w:rPr>
          <w:szCs w:val="24"/>
        </w:rPr>
        <w:t xml:space="preserve">market </w:t>
      </w:r>
      <w:r w:rsidR="00F73B66">
        <w:rPr>
          <w:szCs w:val="24"/>
        </w:rPr>
        <w:t>resources in neighboring regions enhance</w:t>
      </w:r>
      <w:r w:rsidR="00180D42">
        <w:rPr>
          <w:szCs w:val="24"/>
        </w:rPr>
        <w:t>s</w:t>
      </w:r>
      <w:r w:rsidR="00F73B66">
        <w:rPr>
          <w:szCs w:val="24"/>
        </w:rPr>
        <w:t xml:space="preserve"> a region’s reliability</w:t>
      </w:r>
      <w:r w:rsidR="00687966">
        <w:rPr>
          <w:szCs w:val="24"/>
        </w:rPr>
        <w:t xml:space="preserve"> due to load and resource diversity</w:t>
      </w:r>
      <w:r w:rsidR="00F73B66">
        <w:rPr>
          <w:szCs w:val="24"/>
        </w:rPr>
        <w:t>. However, the amount, cost, and deliverability of those resources are subject to the external region’s resource</w:t>
      </w:r>
      <w:r w:rsidR="00C93EEC">
        <w:rPr>
          <w:szCs w:val="24"/>
        </w:rPr>
        <w:t xml:space="preserve"> </w:t>
      </w:r>
      <w:r w:rsidR="00F73B66">
        <w:rPr>
          <w:szCs w:val="24"/>
        </w:rPr>
        <w:t xml:space="preserve">adequacy situation or transmission constraints at any given time. While a region can expect </w:t>
      </w:r>
      <w:r w:rsidR="000D7B59">
        <w:rPr>
          <w:szCs w:val="24"/>
        </w:rPr>
        <w:t xml:space="preserve">some level of </w:t>
      </w:r>
      <w:r w:rsidR="00F73B66">
        <w:rPr>
          <w:szCs w:val="24"/>
        </w:rPr>
        <w:t>support</w:t>
      </w:r>
      <w:r w:rsidR="00687966">
        <w:rPr>
          <w:szCs w:val="24"/>
        </w:rPr>
        <w:t xml:space="preserve"> from its neighbors</w:t>
      </w:r>
      <w:r w:rsidR="00F73B66">
        <w:rPr>
          <w:szCs w:val="24"/>
        </w:rPr>
        <w:t xml:space="preserve">, </w:t>
      </w:r>
      <w:r w:rsidR="00180D42">
        <w:rPr>
          <w:szCs w:val="24"/>
        </w:rPr>
        <w:t xml:space="preserve">each </w:t>
      </w:r>
      <w:r w:rsidR="00F73B66">
        <w:rPr>
          <w:szCs w:val="24"/>
        </w:rPr>
        <w:t xml:space="preserve">region must carry adequate reserves </w:t>
      </w:r>
      <w:r w:rsidR="000D7B59">
        <w:rPr>
          <w:szCs w:val="24"/>
        </w:rPr>
        <w:t xml:space="preserve">and manage its own reliability risks. Therefore, there is uncertainty regarding the availability of </w:t>
      </w:r>
      <w:r w:rsidR="00180D42">
        <w:rPr>
          <w:szCs w:val="24"/>
        </w:rPr>
        <w:t xml:space="preserve">such </w:t>
      </w:r>
      <w:r w:rsidR="000D7B59">
        <w:rPr>
          <w:szCs w:val="24"/>
        </w:rPr>
        <w:t xml:space="preserve">external support when it is most needed. </w:t>
      </w:r>
    </w:p>
    <w:p w14:paraId="7AD5EB42" w14:textId="77777777" w:rsidR="00603690" w:rsidRDefault="00603690" w:rsidP="00603690">
      <w:pPr>
        <w:pStyle w:val="ListParagraph"/>
        <w:rPr>
          <w:szCs w:val="24"/>
        </w:rPr>
      </w:pPr>
    </w:p>
    <w:p w14:paraId="4697ED51" w14:textId="27830639" w:rsidR="00D71BAC" w:rsidRPr="00372AC4" w:rsidRDefault="00F81B2B" w:rsidP="00603690">
      <w:pPr>
        <w:spacing w:before="240"/>
      </w:pPr>
      <w:r>
        <w:t>While each</w:t>
      </w:r>
      <w:r w:rsidR="000C5016">
        <w:t xml:space="preserve"> of these four factors creates</w:t>
      </w:r>
      <w:r w:rsidR="00D71BAC">
        <w:t xml:space="preserve"> a need for capacity reserves</w:t>
      </w:r>
      <w:r>
        <w:t xml:space="preserve"> on its own</w:t>
      </w:r>
      <w:r w:rsidR="00D71BAC">
        <w:t xml:space="preserve">, </w:t>
      </w:r>
      <w:r>
        <w:t>confluence of all these risk factors pose</w:t>
      </w:r>
      <w:r w:rsidR="00D93D4F">
        <w:t>s</w:t>
      </w:r>
      <w:r>
        <w:t xml:space="preserve"> considerable risk</w:t>
      </w:r>
      <w:r w:rsidR="00D71BAC">
        <w:t xml:space="preserve">. </w:t>
      </w:r>
      <w:r w:rsidR="00DE320E">
        <w:t>Very high</w:t>
      </w:r>
      <w:r w:rsidR="00D71BAC">
        <w:t xml:space="preserve"> capacity reserves would be required to meet customers’ load demands plus operating reserve requirements</w:t>
      </w:r>
      <w:r w:rsidR="00DE320E">
        <w:t xml:space="preserve"> </w:t>
      </w:r>
      <w:r w:rsidR="2FFBA51D">
        <w:t xml:space="preserve">if </w:t>
      </w:r>
      <w:r w:rsidR="1BDAA100">
        <w:t xml:space="preserve">the </w:t>
      </w:r>
      <w:r w:rsidR="65E21318">
        <w:t>objective</w:t>
      </w:r>
      <w:r w:rsidR="1BDAA100">
        <w:t xml:space="preserve"> was to </w:t>
      </w:r>
      <w:r w:rsidR="478717E4">
        <w:t>eliminate</w:t>
      </w:r>
      <w:r w:rsidR="106334F9">
        <w:t xml:space="preserve"> all </w:t>
      </w:r>
      <w:r w:rsidR="027295FF">
        <w:t>risk</w:t>
      </w:r>
      <w:r w:rsidR="70921C7E">
        <w:t xml:space="preserve">, including </w:t>
      </w:r>
      <w:r w:rsidR="00810763">
        <w:t>uncertainty conditions that result in</w:t>
      </w:r>
      <w:r w:rsidR="70921C7E">
        <w:t xml:space="preserve"> the most extreme </w:t>
      </w:r>
      <w:r w:rsidR="37665316">
        <w:t>reliability events.</w:t>
      </w:r>
      <w:r w:rsidR="00D71BAC">
        <w:t xml:space="preserve"> However, maintaining such high levels of capacity reserves comes at significant expense and may only eliminate very low probability events. A more appropriate approach to setting the </w:t>
      </w:r>
      <w:r w:rsidR="00F9355F">
        <w:t>TRM</w:t>
      </w:r>
      <w:r w:rsidR="000108DD">
        <w:t xml:space="preserve"> </w:t>
      </w:r>
      <w:r w:rsidR="00D71BAC">
        <w:t xml:space="preserve">is </w:t>
      </w:r>
      <w:r w:rsidR="00BB7829">
        <w:t xml:space="preserve">to </w:t>
      </w:r>
      <w:r w:rsidR="00D71BAC">
        <w:t>minimiz</w:t>
      </w:r>
      <w:r w:rsidR="00BB7829">
        <w:t>e</w:t>
      </w:r>
      <w:r w:rsidR="00D71BAC">
        <w:t xml:space="preserve"> the combined </w:t>
      </w:r>
      <w:r w:rsidR="00217F0E">
        <w:t xml:space="preserve">expected </w:t>
      </w:r>
      <w:r w:rsidR="00D71BAC">
        <w:t xml:space="preserve">costs of maintaining reserve capacity, </w:t>
      </w:r>
      <w:r w:rsidR="00865827">
        <w:t xml:space="preserve">System </w:t>
      </w:r>
      <w:r w:rsidR="00D71BAC">
        <w:t>costs, and customer costs associated with service interruptions</w:t>
      </w:r>
      <w:r w:rsidR="00217F0E">
        <w:t xml:space="preserve">, </w:t>
      </w:r>
      <w:r w:rsidR="7FDC73C3">
        <w:t>plus</w:t>
      </w:r>
      <w:r w:rsidR="00BB7829">
        <w:t xml:space="preserve"> </w:t>
      </w:r>
      <w:r w:rsidR="1EE677B9">
        <w:t>a</w:t>
      </w:r>
      <w:r w:rsidR="07F1F341">
        <w:t xml:space="preserve"> </w:t>
      </w:r>
      <w:r w:rsidR="1F1405AE">
        <w:t xml:space="preserve">value </w:t>
      </w:r>
      <w:r w:rsidR="15B548AC">
        <w:t>a</w:t>
      </w:r>
      <w:r w:rsidR="1A19F27B">
        <w:t>t</w:t>
      </w:r>
      <w:r w:rsidR="15B548AC">
        <w:t xml:space="preserve"> risk </w:t>
      </w:r>
      <w:r w:rsidR="59A23577">
        <w:t>adjust</w:t>
      </w:r>
      <w:r w:rsidR="5DBF41A4">
        <w:t>ment</w:t>
      </w:r>
      <w:r w:rsidR="00217F0E">
        <w:t xml:space="preserve"> </w:t>
      </w:r>
      <w:r w:rsidR="5DBF41A4">
        <w:t xml:space="preserve">that might reduce the risk of less likely to occur </w:t>
      </w:r>
      <w:r w:rsidR="180854B4">
        <w:t>but much more costly</w:t>
      </w:r>
      <w:r w:rsidR="54824BCF">
        <w:t xml:space="preserve"> outcomes</w:t>
      </w:r>
      <w:r w:rsidR="00217F0E">
        <w:t>.</w:t>
      </w:r>
      <w:r w:rsidR="000108DD">
        <w:t xml:space="preserve"> </w:t>
      </w:r>
      <w:r w:rsidR="2937274B">
        <w:t>A proper e</w:t>
      </w:r>
      <w:r w:rsidR="262BA22A">
        <w:t>valuation</w:t>
      </w:r>
      <w:r w:rsidR="00EC0D4D">
        <w:t xml:space="preserve"> of these costs will </w:t>
      </w:r>
      <w:r w:rsidR="006048A0">
        <w:t>identify</w:t>
      </w:r>
      <w:r w:rsidR="00EC0D4D">
        <w:t xml:space="preserve"> the Economic Optimum Reserve Margin (</w:t>
      </w:r>
      <w:r w:rsidR="008E2FDE">
        <w:t>“</w:t>
      </w:r>
      <w:r w:rsidR="00EC0D4D">
        <w:t>EORM</w:t>
      </w:r>
      <w:r w:rsidR="008E2FDE">
        <w:t>”</w:t>
      </w:r>
      <w:r w:rsidR="00EC0D4D">
        <w:t xml:space="preserve">), properly adjusted for risk. </w:t>
      </w:r>
      <w:r w:rsidR="000108DD">
        <w:t xml:space="preserve">However, that </w:t>
      </w:r>
      <w:r w:rsidR="00EC0D4D">
        <w:t>risk-adjusted EORM</w:t>
      </w:r>
      <w:r w:rsidR="00CE691B">
        <w:t xml:space="preserve"> must also meet</w:t>
      </w:r>
      <w:r w:rsidR="00CF31ED">
        <w:t xml:space="preserve"> a</w:t>
      </w:r>
      <w:r w:rsidR="00CE691B">
        <w:t xml:space="preserve"> minimum reliability criteria threshold.</w:t>
      </w:r>
      <w:r w:rsidR="00A648A6">
        <w:t xml:space="preserve"> </w:t>
      </w:r>
      <w:r w:rsidR="00CE691B">
        <w:t>Common practice in the industry regarding this minimum reliability criteria threshold is to plan for a</w:t>
      </w:r>
      <w:r w:rsidR="00875CCA">
        <w:t>n annual</w:t>
      </w:r>
      <w:r w:rsidR="00CE691B">
        <w:t xml:space="preserve"> </w:t>
      </w:r>
      <w:r w:rsidR="00D25B56">
        <w:t>LOLE</w:t>
      </w:r>
      <w:r w:rsidR="00CE691B">
        <w:t xml:space="preserve"> of no </w:t>
      </w:r>
      <w:r w:rsidR="003978AE">
        <w:t xml:space="preserve">greater than 0.1 days per year </w:t>
      </w:r>
      <w:r w:rsidR="00CE691B">
        <w:t xml:space="preserve">- or </w:t>
      </w:r>
      <w:r w:rsidR="003978AE">
        <w:t>1:10 LOLE</w:t>
      </w:r>
      <w:r w:rsidR="00CE691B">
        <w:t>.</w:t>
      </w:r>
    </w:p>
    <w:p w14:paraId="4D7815D1" w14:textId="77777777" w:rsidR="00D71BAC" w:rsidRPr="00372AC4" w:rsidRDefault="00D71BAC" w:rsidP="00217F0E">
      <w:pPr>
        <w:rPr>
          <w:szCs w:val="24"/>
        </w:rPr>
      </w:pPr>
    </w:p>
    <w:p w14:paraId="12E9C127" w14:textId="62743D59" w:rsidR="00D71BAC" w:rsidRDefault="00C3383A" w:rsidP="00217F0E">
      <w:r>
        <w:t>The Company used the Strategic Energy and Risk Valuation Model (“SERVM”) t</w:t>
      </w:r>
      <w:r w:rsidR="00D71BAC">
        <w:t>o understand and quantify the overlap of the f</w:t>
      </w:r>
      <w:r w:rsidR="003C41FA">
        <w:t>our</w:t>
      </w:r>
      <w:r w:rsidR="00D71BAC">
        <w:t xml:space="preserve"> contributing factors to the need for reserve m</w:t>
      </w:r>
      <w:r w:rsidR="00BB7829">
        <w:t>argins</w:t>
      </w:r>
      <w:r w:rsidR="00D71BAC">
        <w:t>.</w:t>
      </w:r>
      <w:r w:rsidR="00A648A6">
        <w:t xml:space="preserve"> </w:t>
      </w:r>
      <w:r w:rsidR="00D71BAC">
        <w:t xml:space="preserve">SERVM evaluates the ability of </w:t>
      </w:r>
      <w:r w:rsidR="00402FB6">
        <w:t xml:space="preserve">the </w:t>
      </w:r>
      <w:r w:rsidR="00F81B2B">
        <w:t>System</w:t>
      </w:r>
      <w:r w:rsidR="00402FB6">
        <w:t>’s</w:t>
      </w:r>
      <w:r w:rsidR="00FC6A99">
        <w:t xml:space="preserve"> </w:t>
      </w:r>
      <w:r w:rsidR="00D71BAC">
        <w:t xml:space="preserve">capacity resources to meet load obligations every hour in </w:t>
      </w:r>
      <w:r w:rsidR="00457000">
        <w:t>a</w:t>
      </w:r>
      <w:r w:rsidR="00D71BAC">
        <w:t xml:space="preserve"> year for thousands of </w:t>
      </w:r>
      <w:r w:rsidR="003978AE">
        <w:t xml:space="preserve">combinations of </w:t>
      </w:r>
      <w:r w:rsidR="00D71BAC">
        <w:t xml:space="preserve">weather, </w:t>
      </w:r>
      <w:r>
        <w:t>LFE</w:t>
      </w:r>
      <w:r w:rsidR="00D71BAC">
        <w:t>, and unit performance</w:t>
      </w:r>
      <w:r w:rsidR="00756C95">
        <w:t xml:space="preserve"> </w:t>
      </w:r>
      <w:r w:rsidR="003978AE">
        <w:t>scenarios</w:t>
      </w:r>
      <w:r w:rsidR="00D71BAC">
        <w:t>.</w:t>
      </w:r>
      <w:r w:rsidR="00A648A6">
        <w:t xml:space="preserve"> </w:t>
      </w:r>
      <w:r w:rsidR="00D71BAC">
        <w:t>The model quantifies, in dollar cost</w:t>
      </w:r>
      <w:r w:rsidR="00AF33E5">
        <w:t>, two components of reliability</w:t>
      </w:r>
      <w:r w:rsidR="001D17F9">
        <w:t>-</w:t>
      </w:r>
      <w:r w:rsidR="0025578D">
        <w:t>related costs</w:t>
      </w:r>
      <w:r w:rsidR="00D71BAC">
        <w:t>.</w:t>
      </w:r>
      <w:r w:rsidR="00A648A6">
        <w:t xml:space="preserve"> </w:t>
      </w:r>
      <w:r w:rsidR="00D71BAC">
        <w:t>These components are:</w:t>
      </w:r>
    </w:p>
    <w:p w14:paraId="2CA3C0EC" w14:textId="77777777" w:rsidR="0025159E" w:rsidRPr="00372AC4" w:rsidRDefault="0025159E" w:rsidP="00217F0E">
      <w:pPr>
        <w:rPr>
          <w:szCs w:val="24"/>
        </w:rPr>
      </w:pPr>
    </w:p>
    <w:p w14:paraId="212CE9B7" w14:textId="2C0C636C" w:rsidR="00D71BAC" w:rsidRPr="00372AC4" w:rsidRDefault="00D71BAC" w:rsidP="00C56A27">
      <w:pPr>
        <w:pStyle w:val="ListParagraph"/>
        <w:numPr>
          <w:ilvl w:val="0"/>
          <w:numId w:val="3"/>
        </w:numPr>
        <w:rPr>
          <w:szCs w:val="24"/>
        </w:rPr>
      </w:pPr>
      <w:r w:rsidRPr="00C3383A">
        <w:rPr>
          <w:b/>
          <w:bCs/>
          <w:szCs w:val="24"/>
        </w:rPr>
        <w:t xml:space="preserve">Production </w:t>
      </w:r>
      <w:r w:rsidR="00CE691B" w:rsidRPr="00C3383A">
        <w:rPr>
          <w:b/>
          <w:bCs/>
          <w:szCs w:val="24"/>
        </w:rPr>
        <w:t>Costs</w:t>
      </w:r>
      <w:r w:rsidR="00457000" w:rsidRPr="00372AC4">
        <w:rPr>
          <w:szCs w:val="24"/>
        </w:rPr>
        <w:t>,</w:t>
      </w:r>
      <w:r w:rsidRPr="00372AC4">
        <w:rPr>
          <w:szCs w:val="24"/>
        </w:rPr>
        <w:t xml:space="preserve"> including </w:t>
      </w:r>
      <w:r w:rsidR="00CE691B">
        <w:rPr>
          <w:szCs w:val="24"/>
        </w:rPr>
        <w:t xml:space="preserve">the cost of generation as well as the cost of </w:t>
      </w:r>
      <w:r w:rsidRPr="00372AC4">
        <w:rPr>
          <w:szCs w:val="24"/>
        </w:rPr>
        <w:t>purchases</w:t>
      </w:r>
      <w:r w:rsidR="00CF31ED">
        <w:rPr>
          <w:szCs w:val="24"/>
        </w:rPr>
        <w:t>;</w:t>
      </w:r>
      <w:r w:rsidR="00F81B2B">
        <w:rPr>
          <w:szCs w:val="24"/>
        </w:rPr>
        <w:t xml:space="preserve"> and</w:t>
      </w:r>
    </w:p>
    <w:p w14:paraId="530ECC00" w14:textId="115D8B12" w:rsidR="00D71BAC" w:rsidRDefault="00CE691B" w:rsidP="00C56A27">
      <w:pPr>
        <w:pStyle w:val="ListParagraph"/>
        <w:numPr>
          <w:ilvl w:val="0"/>
          <w:numId w:val="3"/>
        </w:numPr>
        <w:rPr>
          <w:szCs w:val="24"/>
        </w:rPr>
      </w:pPr>
      <w:r w:rsidRPr="00C3383A">
        <w:rPr>
          <w:b/>
          <w:bCs/>
          <w:szCs w:val="24"/>
        </w:rPr>
        <w:t>Reliability Costs</w:t>
      </w:r>
      <w:r>
        <w:rPr>
          <w:szCs w:val="24"/>
        </w:rPr>
        <w:t>, including the cost of customer outages</w:t>
      </w:r>
      <w:r w:rsidR="00D71BAC" w:rsidRPr="00372AC4">
        <w:rPr>
          <w:szCs w:val="24"/>
        </w:rPr>
        <w:t xml:space="preserve"> </w:t>
      </w:r>
      <w:r w:rsidR="00F81B2B">
        <w:rPr>
          <w:szCs w:val="24"/>
        </w:rPr>
        <w:t>(</w:t>
      </w:r>
      <w:r w:rsidR="00D71BAC" w:rsidRPr="001657AE">
        <w:rPr>
          <w:i/>
          <w:szCs w:val="24"/>
        </w:rPr>
        <w:t>i.e.,</w:t>
      </w:r>
      <w:r w:rsidR="00D71BAC" w:rsidRPr="00372AC4">
        <w:rPr>
          <w:szCs w:val="24"/>
        </w:rPr>
        <w:t xml:space="preserve"> expected unserved energy (</w:t>
      </w:r>
      <w:r w:rsidR="008E2FDE">
        <w:rPr>
          <w:szCs w:val="24"/>
        </w:rPr>
        <w:t>“</w:t>
      </w:r>
      <w:r w:rsidR="00D71BAC" w:rsidRPr="00372AC4">
        <w:rPr>
          <w:szCs w:val="24"/>
        </w:rPr>
        <w:t>EUE</w:t>
      </w:r>
      <w:r w:rsidR="008E2FDE">
        <w:rPr>
          <w:szCs w:val="24"/>
        </w:rPr>
        <w:t>”</w:t>
      </w:r>
      <w:r w:rsidR="00D71BAC" w:rsidRPr="00372AC4">
        <w:rPr>
          <w:szCs w:val="24"/>
        </w:rPr>
        <w:t>)</w:t>
      </w:r>
      <w:r w:rsidR="00DA702F">
        <w:rPr>
          <w:szCs w:val="24"/>
        </w:rPr>
        <w:t xml:space="preserve"> cost</w:t>
      </w:r>
      <w:r w:rsidR="00F81B2B">
        <w:rPr>
          <w:szCs w:val="24"/>
        </w:rPr>
        <w:t>)</w:t>
      </w:r>
      <w:r>
        <w:rPr>
          <w:szCs w:val="24"/>
        </w:rPr>
        <w:t xml:space="preserve">, emergency purchases, the cost of not meeting operating reserve requirements, and </w:t>
      </w:r>
      <w:r w:rsidR="00D7764D">
        <w:rPr>
          <w:szCs w:val="24"/>
        </w:rPr>
        <w:t>non-firm outage costs</w:t>
      </w:r>
      <w:r w:rsidR="00937377">
        <w:rPr>
          <w:szCs w:val="24"/>
        </w:rPr>
        <w:t xml:space="preserve"> (</w:t>
      </w:r>
      <w:r w:rsidR="00937377" w:rsidRPr="00CF31ED">
        <w:rPr>
          <w:i/>
          <w:iCs/>
          <w:szCs w:val="24"/>
        </w:rPr>
        <w:t>i.e.</w:t>
      </w:r>
      <w:r w:rsidR="00937377">
        <w:rPr>
          <w:szCs w:val="24"/>
        </w:rPr>
        <w:t>, the cost of calling demand response resources)</w:t>
      </w:r>
      <w:r>
        <w:rPr>
          <w:szCs w:val="24"/>
        </w:rPr>
        <w:t>.</w:t>
      </w:r>
    </w:p>
    <w:p w14:paraId="16AFE944" w14:textId="77777777" w:rsidR="00603690" w:rsidRPr="00372AC4" w:rsidRDefault="00603690" w:rsidP="00603690">
      <w:pPr>
        <w:pStyle w:val="ListParagraph"/>
        <w:rPr>
          <w:szCs w:val="24"/>
        </w:rPr>
      </w:pPr>
    </w:p>
    <w:p w14:paraId="2D7BF3F6" w14:textId="39468128" w:rsidR="00D71BAC" w:rsidRDefault="003978AE" w:rsidP="00603690">
      <w:pPr>
        <w:spacing w:before="240"/>
      </w:pPr>
      <w:r w:rsidRPr="5CA335FF">
        <w:t>The</w:t>
      </w:r>
      <w:r w:rsidR="009E0F4C" w:rsidRPr="5CA335FF">
        <w:t xml:space="preserve"> Production Costs and Reliability Costs</w:t>
      </w:r>
      <w:r>
        <w:rPr>
          <w:szCs w:val="24"/>
        </w:rPr>
        <w:t>,</w:t>
      </w:r>
      <w:r w:rsidR="00CE691B" w:rsidRPr="5CA335FF">
        <w:t xml:space="preserve"> determined by the SERVM model</w:t>
      </w:r>
      <w:r>
        <w:rPr>
          <w:szCs w:val="24"/>
        </w:rPr>
        <w:t>,</w:t>
      </w:r>
      <w:r w:rsidR="00CE691B" w:rsidRPr="5CA335FF">
        <w:t xml:space="preserve"> are then compared to the Incremental Capacity Cost of new generation reserves. </w:t>
      </w:r>
      <w:r w:rsidR="00D71BAC" w:rsidRPr="5CA335FF">
        <w:t xml:space="preserve">The analysis is performed on a range of </w:t>
      </w:r>
      <w:r w:rsidR="002155C0" w:rsidRPr="5CA335FF">
        <w:t xml:space="preserve">winter </w:t>
      </w:r>
      <w:r w:rsidR="00D71BAC" w:rsidRPr="5CA335FF">
        <w:t>planning reserve margins</w:t>
      </w:r>
      <w:r w:rsidR="00246DA5" w:rsidRPr="5CA335FF">
        <w:t xml:space="preserve"> from </w:t>
      </w:r>
      <w:r w:rsidR="002155C0" w:rsidRPr="5CA335FF">
        <w:t>2</w:t>
      </w:r>
      <w:r w:rsidR="00246DA5" w:rsidRPr="5CA335FF">
        <w:t xml:space="preserve">0% - </w:t>
      </w:r>
      <w:r w:rsidR="002155C0" w:rsidRPr="5CA335FF">
        <w:t>3</w:t>
      </w:r>
      <w:r w:rsidR="00B41B1D" w:rsidRPr="5CA335FF">
        <w:t>0</w:t>
      </w:r>
      <w:r w:rsidR="00246DA5">
        <w:rPr>
          <w:szCs w:val="24"/>
        </w:rPr>
        <w:t>%</w:t>
      </w:r>
      <w:r w:rsidR="00D71BAC" w:rsidRPr="5CA335FF">
        <w:t xml:space="preserve">. With lower reserve margin levels, the </w:t>
      </w:r>
      <w:r w:rsidR="00795DCA" w:rsidRPr="5CA335FF">
        <w:t xml:space="preserve">import costs and </w:t>
      </w:r>
      <w:r w:rsidR="00CE691B" w:rsidRPr="5CA335FF">
        <w:t xml:space="preserve">Reliability Costs </w:t>
      </w:r>
      <w:r w:rsidR="00D71BAC" w:rsidRPr="5CA335FF">
        <w:t xml:space="preserve">are high and vary widely, but the </w:t>
      </w:r>
      <w:r w:rsidR="00795DCA" w:rsidRPr="5CA335FF">
        <w:t>Incremental Capacity Cost and its associated generation cost</w:t>
      </w:r>
      <w:r w:rsidR="00D71BAC" w:rsidRPr="00C627E2">
        <w:rPr>
          <w:szCs w:val="24"/>
        </w:rPr>
        <w:t xml:space="preserve"> </w:t>
      </w:r>
      <w:r w:rsidR="00437217" w:rsidRPr="5CA335FF">
        <w:t>are</w:t>
      </w:r>
      <w:r w:rsidR="00437217" w:rsidRPr="00C627E2">
        <w:rPr>
          <w:szCs w:val="24"/>
        </w:rPr>
        <w:t xml:space="preserve"> </w:t>
      </w:r>
      <w:r w:rsidR="00D71BAC" w:rsidRPr="5CA335FF">
        <w:t xml:space="preserve">low. At higher reserve margin levels, the </w:t>
      </w:r>
      <w:r w:rsidR="00795DCA" w:rsidRPr="5CA335FF">
        <w:t>import costs and Reliability C</w:t>
      </w:r>
      <w:r w:rsidR="00D71BAC" w:rsidRPr="5CA335FF">
        <w:t xml:space="preserve">osts are low, but the </w:t>
      </w:r>
      <w:r w:rsidR="00795DCA" w:rsidRPr="5CA335FF">
        <w:t xml:space="preserve">Incremental Capacity Cost and its associated generation cost </w:t>
      </w:r>
      <w:r w:rsidR="00437217" w:rsidRPr="5CA335FF">
        <w:t xml:space="preserve">are </w:t>
      </w:r>
      <w:r w:rsidR="00795DCA" w:rsidRPr="5CA335FF">
        <w:t>high</w:t>
      </w:r>
      <w:r w:rsidR="00D71BAC" w:rsidRPr="5CA335FF">
        <w:t>. The objective of th</w:t>
      </w:r>
      <w:r w:rsidR="00402FB6" w:rsidRPr="5CA335FF">
        <w:t>is</w:t>
      </w:r>
      <w:r w:rsidR="00D71BAC" w:rsidRPr="5CA335FF">
        <w:t xml:space="preserve"> study is to find the </w:t>
      </w:r>
      <w:r w:rsidR="00EC0D4D" w:rsidRPr="5CA335FF">
        <w:t>reserve margin</w:t>
      </w:r>
      <w:r w:rsidR="00D71BAC" w:rsidRPr="5CA335FF">
        <w:t xml:space="preserve"> where the sum of these costs is minimized (</w:t>
      </w:r>
      <w:r w:rsidR="00A1187D" w:rsidRPr="5CA335FF">
        <w:rPr>
          <w:i/>
        </w:rPr>
        <w:t>i.e.</w:t>
      </w:r>
      <w:r w:rsidR="00A76839">
        <w:rPr>
          <w:i/>
        </w:rPr>
        <w:t>,</w:t>
      </w:r>
      <w:r w:rsidR="00D71BAC" w:rsidRPr="5CA335FF">
        <w:t xml:space="preserve"> the minimum cost point)</w:t>
      </w:r>
      <w:r w:rsidR="00795DCA" w:rsidRPr="5CA335FF">
        <w:t>, which is referred to as the EORM</w:t>
      </w:r>
      <w:r w:rsidR="00D71BAC" w:rsidRPr="5CA335FF">
        <w:t xml:space="preserve">. The </w:t>
      </w:r>
      <w:r w:rsidR="008E2FDE">
        <w:rPr>
          <w:szCs w:val="24"/>
        </w:rPr>
        <w:t>“</w:t>
      </w:r>
      <w:r w:rsidR="00D71BAC" w:rsidRPr="5CA335FF">
        <w:t>U</w:t>
      </w:r>
      <w:r w:rsidR="00D420FA">
        <w:rPr>
          <w:szCs w:val="24"/>
        </w:rPr>
        <w:t>-</w:t>
      </w:r>
      <w:r w:rsidR="00D71BAC" w:rsidRPr="5CA335FF">
        <w:t>curve</w:t>
      </w:r>
      <w:r w:rsidR="008E2FDE">
        <w:rPr>
          <w:szCs w:val="24"/>
        </w:rPr>
        <w:t>”</w:t>
      </w:r>
      <w:r w:rsidR="00D71BAC" w:rsidRPr="00421157">
        <w:rPr>
          <w:szCs w:val="24"/>
        </w:rPr>
        <w:t xml:space="preserve"> </w:t>
      </w:r>
      <w:r w:rsidR="00DA702F" w:rsidRPr="5CA335FF">
        <w:t xml:space="preserve">in </w:t>
      </w:r>
      <w:r w:rsidR="00621BF1">
        <w:rPr>
          <w:szCs w:val="24"/>
        </w:rPr>
        <w:fldChar w:fldCharType="begin"/>
      </w:r>
      <w:r w:rsidR="00621BF1">
        <w:rPr>
          <w:szCs w:val="24"/>
        </w:rPr>
        <w:instrText xml:space="preserve"> REF _Ref513785176 \h </w:instrText>
      </w:r>
      <w:r w:rsidR="00621BF1">
        <w:rPr>
          <w:szCs w:val="24"/>
        </w:rPr>
      </w:r>
      <w:r w:rsidR="00621BF1">
        <w:rPr>
          <w:szCs w:val="24"/>
        </w:rPr>
        <w:fldChar w:fldCharType="separate"/>
      </w:r>
      <w:r w:rsidR="00161C58" w:rsidRPr="007B7649">
        <w:t xml:space="preserve">Figure </w:t>
      </w:r>
      <w:r w:rsidR="00161C58">
        <w:rPr>
          <w:noProof/>
        </w:rPr>
        <w:t>1</w:t>
      </w:r>
      <w:r w:rsidR="00621BF1">
        <w:rPr>
          <w:szCs w:val="24"/>
        </w:rPr>
        <w:fldChar w:fldCharType="end"/>
      </w:r>
      <w:r w:rsidR="00D71BAC" w:rsidRPr="5CA335FF">
        <w:t xml:space="preserve"> shows the sum of </w:t>
      </w:r>
      <w:r w:rsidR="00795DCA" w:rsidRPr="5CA335FF">
        <w:t>Production Costs</w:t>
      </w:r>
      <w:r w:rsidR="00D71BAC" w:rsidRPr="00421157">
        <w:rPr>
          <w:szCs w:val="24"/>
        </w:rPr>
        <w:t xml:space="preserve">, </w:t>
      </w:r>
      <w:r w:rsidR="00795DCA" w:rsidRPr="5CA335FF">
        <w:t>Reliability Costs</w:t>
      </w:r>
      <w:r w:rsidR="00D71BAC" w:rsidRPr="5CA335FF">
        <w:t xml:space="preserve">, and </w:t>
      </w:r>
      <w:r w:rsidR="00795DCA" w:rsidRPr="5CA335FF">
        <w:t>Incremental Capacity Costs</w:t>
      </w:r>
      <w:r w:rsidR="00D71BAC" w:rsidRPr="00421157">
        <w:rPr>
          <w:szCs w:val="24"/>
        </w:rPr>
        <w:t xml:space="preserve"> </w:t>
      </w:r>
      <w:r w:rsidR="00593FB8" w:rsidRPr="5CA335FF">
        <w:t>across the range of</w:t>
      </w:r>
      <w:r w:rsidR="00D71BAC" w:rsidRPr="5CA335FF">
        <w:t xml:space="preserve"> reserve margin level</w:t>
      </w:r>
      <w:r w:rsidR="00593FB8" w:rsidRPr="5CA335FF">
        <w:t>s</w:t>
      </w:r>
      <w:r w:rsidR="00D71BAC" w:rsidRPr="5CA335FF">
        <w:t xml:space="preserve"> studied and demonstrates </w:t>
      </w:r>
      <w:r w:rsidR="00437217" w:rsidRPr="5CA335FF">
        <w:t xml:space="preserve">that </w:t>
      </w:r>
      <w:r w:rsidR="00795DCA" w:rsidRPr="5CA335FF">
        <w:t>the EORM</w:t>
      </w:r>
      <w:r w:rsidR="00D71BAC" w:rsidRPr="5CA335FF">
        <w:t xml:space="preserve"> occurs at</w:t>
      </w:r>
      <w:r w:rsidR="00593FB8" w:rsidRPr="5CA335FF">
        <w:t xml:space="preserve"> a </w:t>
      </w:r>
      <w:r w:rsidR="002155C0" w:rsidRPr="5CA335FF">
        <w:t>winter</w:t>
      </w:r>
      <w:r w:rsidR="00EC0D4D">
        <w:rPr>
          <w:szCs w:val="24"/>
        </w:rPr>
        <w:t xml:space="preserve"> </w:t>
      </w:r>
      <w:r w:rsidR="00593FB8" w:rsidRPr="5CA335FF">
        <w:t xml:space="preserve">reserve margin of </w:t>
      </w:r>
      <w:r w:rsidR="002155C0" w:rsidRPr="5CA335FF">
        <w:t>2</w:t>
      </w:r>
      <w:r w:rsidR="001A5C02" w:rsidRPr="5CA335FF">
        <w:t>2.</w:t>
      </w:r>
      <w:r w:rsidR="00875CCA" w:rsidRPr="5CA335FF">
        <w:t>75</w:t>
      </w:r>
      <w:r w:rsidR="00D71BAC" w:rsidRPr="00217F0E">
        <w:rPr>
          <w:szCs w:val="24"/>
        </w:rPr>
        <w:t>%.</w:t>
      </w:r>
      <w:r w:rsidR="00C3383A">
        <w:rPr>
          <w:szCs w:val="24"/>
        </w:rPr>
        <w:t xml:space="preserve"> </w:t>
      </w:r>
      <w:r w:rsidR="00795DCA" w:rsidRPr="5CA335FF">
        <w:t xml:space="preserve">The </w:t>
      </w:r>
      <w:r w:rsidR="009611F4" w:rsidRPr="5CA335FF">
        <w:t xml:space="preserve">figure </w:t>
      </w:r>
      <w:r w:rsidR="00795DCA" w:rsidRPr="5CA335FF">
        <w:t>represents the weighted average costs over all the load, weather, and outage draws simulated</w:t>
      </w:r>
      <w:r w:rsidR="00F9355F" w:rsidRPr="5CA335FF">
        <w:t xml:space="preserve"> and is stated in terms of the </w:t>
      </w:r>
      <w:r w:rsidR="002155C0" w:rsidRPr="5CA335FF">
        <w:t>winter</w:t>
      </w:r>
      <w:r w:rsidR="00F9355F" w:rsidRPr="5CA335FF">
        <w:t>-oriented reserve margin.</w:t>
      </w:r>
      <w:r w:rsidR="00B61572" w:rsidRPr="5CA335FF">
        <w:rPr>
          <w:rStyle w:val="FootnoteReference"/>
        </w:rPr>
        <w:footnoteReference w:id="6"/>
      </w:r>
    </w:p>
    <w:p w14:paraId="60D3A246" w14:textId="77777777" w:rsidR="0037490A" w:rsidRDefault="0037490A" w:rsidP="00DB641B">
      <w:pPr>
        <w:spacing w:line="240" w:lineRule="auto"/>
        <w:jc w:val="left"/>
      </w:pPr>
    </w:p>
    <w:p w14:paraId="320532EB" w14:textId="37E7D569" w:rsidR="0053151C" w:rsidRDefault="0053151C" w:rsidP="0053151C">
      <w:pPr>
        <w:keepNext/>
      </w:pPr>
    </w:p>
    <w:p w14:paraId="6088A40C" w14:textId="51326979" w:rsidR="200C018E" w:rsidRDefault="200C018E" w:rsidP="7E10FA17">
      <w:r>
        <w:rPr>
          <w:noProof/>
        </w:rPr>
        <w:drawing>
          <wp:inline distT="0" distB="0" distL="0" distR="0" wp14:anchorId="48870A76" wp14:editId="73BDC6FF">
            <wp:extent cx="5943600" cy="4419600"/>
            <wp:effectExtent l="0" t="0" r="0" b="0"/>
            <wp:docPr id="1862978472" name="Picture 1862978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943600" cy="4419600"/>
                    </a:xfrm>
                    <a:prstGeom prst="rect">
                      <a:avLst/>
                    </a:prstGeom>
                  </pic:spPr>
                </pic:pic>
              </a:graphicData>
            </a:graphic>
          </wp:inline>
        </w:drawing>
      </w:r>
    </w:p>
    <w:p w14:paraId="0C7F32E6" w14:textId="09C047EA" w:rsidR="00795DCA" w:rsidRDefault="0053151C" w:rsidP="0053151C">
      <w:pPr>
        <w:pStyle w:val="Caption"/>
        <w:jc w:val="both"/>
      </w:pPr>
      <w:bookmarkStart w:id="3" w:name="_Ref513785176"/>
      <w:bookmarkStart w:id="4" w:name="_Toc513710574"/>
      <w:bookmarkStart w:id="5" w:name="_Toc187234655"/>
      <w:r w:rsidRPr="007B7649">
        <w:t>Figure</w:t>
      </w:r>
      <w:r w:rsidR="00F262E6">
        <w:t xml:space="preserve"> </w:t>
      </w:r>
      <w:r w:rsidR="00F262E6">
        <w:fldChar w:fldCharType="begin"/>
      </w:r>
      <w:r w:rsidR="00F262E6">
        <w:instrText xml:space="preserve"> SEQ Figure \* ARABIC \s 1 </w:instrText>
      </w:r>
      <w:r w:rsidR="00F262E6">
        <w:fldChar w:fldCharType="separate"/>
      </w:r>
      <w:r w:rsidR="00F262E6">
        <w:rPr>
          <w:noProof/>
        </w:rPr>
        <w:t>1</w:t>
      </w:r>
      <w:r w:rsidR="00F262E6">
        <w:fldChar w:fldCharType="end"/>
      </w:r>
      <w:bookmarkEnd w:id="3"/>
      <w:r w:rsidRPr="007B7649">
        <w:t xml:space="preserve">. </w:t>
      </w:r>
      <w:r w:rsidR="00716E7E" w:rsidRPr="007B7649">
        <w:t>Winter</w:t>
      </w:r>
      <w:r w:rsidRPr="007B7649">
        <w:t xml:space="preserve"> EORM U-Curve</w:t>
      </w:r>
      <w:bookmarkEnd w:id="4"/>
      <w:bookmarkEnd w:id="5"/>
    </w:p>
    <w:p w14:paraId="3A26A511" w14:textId="7352F7F7" w:rsidR="00FF1A54" w:rsidRPr="00C627E2" w:rsidRDefault="4CDC4187" w:rsidP="00DB641B">
      <w:r>
        <w:t>S</w:t>
      </w:r>
      <w:r w:rsidR="346B28CA">
        <w:t>ince</w:t>
      </w:r>
      <w:r w:rsidR="01A8298E">
        <w:t xml:space="preserve"> winter is the </w:t>
      </w:r>
      <w:r w:rsidR="5905E421">
        <w:t>dominant season</w:t>
      </w:r>
      <w:r w:rsidR="6152758C">
        <w:t xml:space="preserve"> for annual reliability</w:t>
      </w:r>
      <w:r w:rsidR="01A8298E">
        <w:t xml:space="preserve">, </w:t>
      </w:r>
      <w:r>
        <w:t>represented by the</w:t>
      </w:r>
      <w:r w:rsidR="39DCA4F0">
        <w:t xml:space="preserve"> </w:t>
      </w:r>
      <w:r w:rsidR="01A8298E">
        <w:t xml:space="preserve">Winter </w:t>
      </w:r>
      <w:r w:rsidR="3DF04021">
        <w:t>TRM</w:t>
      </w:r>
      <w:r w:rsidR="01A8298E">
        <w:t>, a</w:t>
      </w:r>
      <w:r w:rsidR="50EC5CF7">
        <w:t xml:space="preserve"> </w:t>
      </w:r>
      <w:r w:rsidR="006D2B41">
        <w:t>separate</w:t>
      </w:r>
      <w:r w:rsidR="01A8298E">
        <w:t xml:space="preserve"> analysis was performed to determine what a Summer </w:t>
      </w:r>
      <w:r w:rsidR="3DF04021">
        <w:t>TRM</w:t>
      </w:r>
      <w:r w:rsidR="01A8298E">
        <w:t xml:space="preserve"> would be assuming</w:t>
      </w:r>
      <w:r>
        <w:t xml:space="preserve"> the removal of the winter months January, February, and December from the economic analysis. </w:t>
      </w:r>
      <w:r w:rsidR="76655F4B">
        <w:t>Th</w:t>
      </w:r>
      <w:r w:rsidR="2B81C20D">
        <w:t>e results of this analysis show</w:t>
      </w:r>
      <w:r w:rsidR="76655F4B">
        <w:t xml:space="preserve"> that the EORM for the Summer </w:t>
      </w:r>
      <w:r w:rsidR="00205531">
        <w:t xml:space="preserve">TRM </w:t>
      </w:r>
      <w:r w:rsidR="73583EBF">
        <w:t>is</w:t>
      </w:r>
      <w:r w:rsidR="76655F4B">
        <w:t xml:space="preserve"> </w:t>
      </w:r>
      <w:r w:rsidR="34A08AE8">
        <w:t>18</w:t>
      </w:r>
      <w:r>
        <w:t>.</w:t>
      </w:r>
      <w:r w:rsidR="6E1C8098">
        <w:t>2</w:t>
      </w:r>
      <w:r w:rsidR="2F8AE37B">
        <w:t>5</w:t>
      </w:r>
      <w:r w:rsidR="76655F4B">
        <w:t>%.</w:t>
      </w:r>
    </w:p>
    <w:p w14:paraId="77975211" w14:textId="633A06CA" w:rsidR="00B61572" w:rsidRDefault="00B61572">
      <w:pPr>
        <w:spacing w:line="240" w:lineRule="auto"/>
        <w:jc w:val="left"/>
      </w:pPr>
    </w:p>
    <w:p w14:paraId="09150CD7" w14:textId="7EE672B9" w:rsidR="00C72147" w:rsidRDefault="00C72147" w:rsidP="00C72147">
      <w:pPr>
        <w:keepNext/>
        <w:spacing w:line="240" w:lineRule="auto"/>
        <w:jc w:val="left"/>
      </w:pPr>
    </w:p>
    <w:p w14:paraId="300B8656" w14:textId="7EAB0266" w:rsidR="629A2416" w:rsidRDefault="629A2416" w:rsidP="7E10FA17">
      <w:pPr>
        <w:keepNext/>
        <w:spacing w:line="240" w:lineRule="auto"/>
        <w:jc w:val="left"/>
      </w:pPr>
      <w:r>
        <w:rPr>
          <w:noProof/>
        </w:rPr>
        <w:drawing>
          <wp:inline distT="0" distB="0" distL="0" distR="0" wp14:anchorId="2E89128B" wp14:editId="24492940">
            <wp:extent cx="5943600" cy="4314825"/>
            <wp:effectExtent l="0" t="0" r="0" b="0"/>
            <wp:docPr id="1595503239" name="Picture 1595503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943600" cy="4314825"/>
                    </a:xfrm>
                    <a:prstGeom prst="rect">
                      <a:avLst/>
                    </a:prstGeom>
                  </pic:spPr>
                </pic:pic>
              </a:graphicData>
            </a:graphic>
          </wp:inline>
        </w:drawing>
      </w:r>
    </w:p>
    <w:p w14:paraId="4B65FFCB" w14:textId="418A3C44" w:rsidR="00C72147" w:rsidRDefault="00C72147" w:rsidP="00C72147">
      <w:pPr>
        <w:pStyle w:val="Caption"/>
      </w:pPr>
      <w:bookmarkStart w:id="6" w:name="_Toc187234656"/>
      <w:r w:rsidRPr="00AF796F">
        <w:t>Figure</w:t>
      </w:r>
      <w:r w:rsidR="00F262E6">
        <w:t xml:space="preserve"> </w:t>
      </w:r>
      <w:r w:rsidR="00F262E6">
        <w:fldChar w:fldCharType="begin"/>
      </w:r>
      <w:r w:rsidR="00F262E6">
        <w:instrText xml:space="preserve"> SEQ Figure \* ARABIC \s 1 </w:instrText>
      </w:r>
      <w:r w:rsidR="00F262E6">
        <w:fldChar w:fldCharType="separate"/>
      </w:r>
      <w:r w:rsidR="00F262E6">
        <w:rPr>
          <w:noProof/>
        </w:rPr>
        <w:t>2</w:t>
      </w:r>
      <w:r w:rsidR="00F262E6">
        <w:fldChar w:fldCharType="end"/>
      </w:r>
      <w:r w:rsidRPr="00AF796F">
        <w:t>. Summer EORM U-Curve</w:t>
      </w:r>
      <w:bookmarkEnd w:id="6"/>
    </w:p>
    <w:p w14:paraId="76BC614C" w14:textId="77777777" w:rsidR="009C6C2E" w:rsidRDefault="009C6C2E" w:rsidP="00DB641B"/>
    <w:p w14:paraId="33ED859B" w14:textId="71F1F4D5" w:rsidR="00BA7B8E" w:rsidRDefault="00BA7B8E" w:rsidP="00DB641B">
      <w:r>
        <w:t xml:space="preserve">These </w:t>
      </w:r>
      <w:r w:rsidR="006E1CC0">
        <w:t>two</w:t>
      </w:r>
      <w:r>
        <w:t xml:space="preserve"> U-Curves and their associated analyses serve as the basis for determining a recommendation for the Winter and</w:t>
      </w:r>
      <w:r w:rsidR="00CF31ED">
        <w:t xml:space="preserve"> the</w:t>
      </w:r>
      <w:r>
        <w:t xml:space="preserve"> Summer </w:t>
      </w:r>
      <w:r w:rsidR="002C1496">
        <w:t>TRM</w:t>
      </w:r>
      <w:r w:rsidR="00CF31ED">
        <w:t>s</w:t>
      </w:r>
      <w:r>
        <w:t>. Since</w:t>
      </w:r>
      <w:r w:rsidR="00F63D48">
        <w:t xml:space="preserve"> </w:t>
      </w:r>
      <w:r>
        <w:t>winter is the constraining season</w:t>
      </w:r>
      <w:r w:rsidR="00F63D48">
        <w:t xml:space="preserve"> for reliability on the System</w:t>
      </w:r>
      <w:r w:rsidR="00B81A69">
        <w:t xml:space="preserve"> due to additional winter-only reliability concerns</w:t>
      </w:r>
      <w:r w:rsidR="00F63D48">
        <w:t>, the Winter TRM</w:t>
      </w:r>
      <w:r>
        <w:t xml:space="preserve"> was considered first.</w:t>
      </w:r>
    </w:p>
    <w:p w14:paraId="3A2B5051" w14:textId="77777777" w:rsidR="00BA7B8E" w:rsidRDefault="00BA7B8E" w:rsidP="00DB641B"/>
    <w:p w14:paraId="2AB5186E" w14:textId="1C396A9D" w:rsidR="00D71BAC" w:rsidRDefault="00D71BAC" w:rsidP="00DB641B">
      <w:r w:rsidRPr="00B138F0">
        <w:t xml:space="preserve">While the minimum cost </w:t>
      </w:r>
      <w:r w:rsidR="00FF1A54">
        <w:t xml:space="preserve">of the winter U-Curve </w:t>
      </w:r>
      <w:r w:rsidRPr="00B138F0">
        <w:t xml:space="preserve">falls at </w:t>
      </w:r>
      <w:r w:rsidR="007264DE">
        <w:t>2</w:t>
      </w:r>
      <w:r w:rsidR="00103A4C">
        <w:t>2</w:t>
      </w:r>
      <w:r w:rsidRPr="00DB641B">
        <w:t>.</w:t>
      </w:r>
      <w:r w:rsidR="00DA0DDB">
        <w:t>75</w:t>
      </w:r>
      <w:r w:rsidRPr="00372AC4">
        <w:t xml:space="preserve">%, the components </w:t>
      </w:r>
      <w:r w:rsidR="00BA7B8E">
        <w:t xml:space="preserve">that were evaluated to develop the U-Curve all have </w:t>
      </w:r>
      <w:r w:rsidR="00402FB6">
        <w:t>substantially</w:t>
      </w:r>
      <w:r w:rsidRPr="00372AC4">
        <w:t xml:space="preserve"> different risk characteristics. The </w:t>
      </w:r>
      <w:r w:rsidR="00D92F89">
        <w:t xml:space="preserve">fixed </w:t>
      </w:r>
      <w:r w:rsidRPr="00372AC4">
        <w:t xml:space="preserve">costs of procuring capacity under a long-term PPA or building a new unit are </w:t>
      </w:r>
      <w:r w:rsidR="00AF33E5">
        <w:t>relatively</w:t>
      </w:r>
      <w:r w:rsidR="00AF33E5" w:rsidRPr="00372AC4">
        <w:t xml:space="preserve"> </w:t>
      </w:r>
      <w:r w:rsidR="00447164">
        <w:t>independent of the uncertainties that affect reliability</w:t>
      </w:r>
      <w:r w:rsidRPr="00372AC4">
        <w:t xml:space="preserve">. On the other hand, </w:t>
      </w:r>
      <w:r w:rsidR="007A2982">
        <w:t>P</w:t>
      </w:r>
      <w:r w:rsidR="007A2982" w:rsidRPr="00372AC4">
        <w:t xml:space="preserve">roduction </w:t>
      </w:r>
      <w:r w:rsidR="007A2982">
        <w:t>C</w:t>
      </w:r>
      <w:r w:rsidR="007A2982" w:rsidRPr="00372AC4">
        <w:t>osts</w:t>
      </w:r>
      <w:r w:rsidR="007A2982">
        <w:t xml:space="preserve"> and Reliability Costs</w:t>
      </w:r>
      <w:r w:rsidR="007A2982" w:rsidRPr="00372AC4">
        <w:t xml:space="preserve"> </w:t>
      </w:r>
      <w:r w:rsidR="00447164">
        <w:t xml:space="preserve">can </w:t>
      </w:r>
      <w:r w:rsidR="007A2982">
        <w:t xml:space="preserve">both </w:t>
      </w:r>
      <w:r w:rsidR="00447164">
        <w:t>vary significantly</w:t>
      </w:r>
      <w:r w:rsidRPr="00372AC4">
        <w:t xml:space="preserve"> depending on weather, </w:t>
      </w:r>
      <w:r w:rsidR="00A648A6">
        <w:t>LFE</w:t>
      </w:r>
      <w:r w:rsidR="007E6218">
        <w:t>,</w:t>
      </w:r>
      <w:r w:rsidRPr="00372AC4">
        <w:t xml:space="preserve"> and unit performance. </w:t>
      </w:r>
    </w:p>
    <w:p w14:paraId="0077081C" w14:textId="77777777" w:rsidR="004232B1" w:rsidRPr="00124600" w:rsidRDefault="004232B1" w:rsidP="00DB641B"/>
    <w:p w14:paraId="1912BE65" w14:textId="399C057F" w:rsidR="003B080E" w:rsidRDefault="00D71BAC" w:rsidP="00DB641B">
      <w:r w:rsidRPr="046F22F9">
        <w:t>The trade-off between static</w:t>
      </w:r>
      <w:r w:rsidR="00E639D8" w:rsidRPr="046F22F9">
        <w:t xml:space="preserve"> Incremental</w:t>
      </w:r>
      <w:r w:rsidRPr="00C627E2">
        <w:rPr>
          <w:szCs w:val="24"/>
        </w:rPr>
        <w:t xml:space="preserve"> </w:t>
      </w:r>
      <w:r w:rsidR="00E639D8" w:rsidRPr="046F22F9">
        <w:t xml:space="preserve">Capacity Costs </w:t>
      </w:r>
      <w:r w:rsidRPr="046F22F9">
        <w:t>and highly volatile</w:t>
      </w:r>
      <w:r w:rsidR="007A2982" w:rsidRPr="046F22F9">
        <w:t xml:space="preserve"> Production </w:t>
      </w:r>
      <w:r w:rsidR="00550194" w:rsidRPr="046F22F9">
        <w:t xml:space="preserve">Costs </w:t>
      </w:r>
      <w:r w:rsidR="007A2982" w:rsidRPr="046F22F9">
        <w:t>and R</w:t>
      </w:r>
      <w:r w:rsidRPr="046F22F9">
        <w:t xml:space="preserve">eliability </w:t>
      </w:r>
      <w:r w:rsidR="002B0CBD" w:rsidRPr="046F22F9">
        <w:t xml:space="preserve">Costs </w:t>
      </w:r>
      <w:r w:rsidRPr="046F22F9">
        <w:t xml:space="preserve">is difficult to measure. </w:t>
      </w:r>
      <w:r w:rsidR="002B0CBD" w:rsidRPr="046F22F9">
        <w:t>The expected value of Production</w:t>
      </w:r>
      <w:r w:rsidR="00550194" w:rsidRPr="046F22F9">
        <w:t xml:space="preserve"> Costs</w:t>
      </w:r>
      <w:r w:rsidR="002B0CBD" w:rsidRPr="046F22F9">
        <w:t xml:space="preserve"> and Reliability Costs is the weighted average of all modeled simulations.</w:t>
      </w:r>
      <w:r w:rsidR="00A648A6">
        <w:t xml:space="preserve"> </w:t>
      </w:r>
      <w:r w:rsidR="0058069D" w:rsidRPr="046F22F9">
        <w:t>F</w:t>
      </w:r>
      <w:r w:rsidR="002B0CBD" w:rsidRPr="046F22F9">
        <w:t xml:space="preserve">or </w:t>
      </w:r>
      <w:r w:rsidR="002C1496" w:rsidRPr="046F22F9">
        <w:t>many</w:t>
      </w:r>
      <w:r w:rsidR="00D76367" w:rsidRPr="046F22F9">
        <w:t xml:space="preserve"> mild weather or slow load growth scenarios, </w:t>
      </w:r>
      <w:r w:rsidR="000C79EB" w:rsidRPr="046F22F9">
        <w:t xml:space="preserve">these </w:t>
      </w:r>
      <w:r w:rsidR="0058069D" w:rsidRPr="046F22F9">
        <w:t xml:space="preserve">Production and Reliability </w:t>
      </w:r>
      <w:r w:rsidR="00A648A6">
        <w:t>C</w:t>
      </w:r>
      <w:r w:rsidR="000C79EB" w:rsidRPr="046F22F9">
        <w:t>osts</w:t>
      </w:r>
      <w:r w:rsidR="00D76367" w:rsidRPr="046F22F9">
        <w:t xml:space="preserve"> will be lower than the expected outcome</w:t>
      </w:r>
      <w:r w:rsidR="00D76367" w:rsidRPr="00421157">
        <w:rPr>
          <w:szCs w:val="24"/>
        </w:rPr>
        <w:t xml:space="preserve">. </w:t>
      </w:r>
      <w:r w:rsidR="0058069D" w:rsidRPr="046F22F9">
        <w:t>However</w:t>
      </w:r>
      <w:r w:rsidR="00D76367" w:rsidRPr="046F22F9">
        <w:t xml:space="preserve">, for more extreme cases, </w:t>
      </w:r>
      <w:r w:rsidR="000C79EB" w:rsidRPr="046F22F9">
        <w:t xml:space="preserve">these </w:t>
      </w:r>
      <w:r w:rsidR="0058069D" w:rsidRPr="046F22F9">
        <w:t xml:space="preserve">Production and Reliability </w:t>
      </w:r>
      <w:r w:rsidR="00D25B56" w:rsidRPr="046F22F9">
        <w:t>C</w:t>
      </w:r>
      <w:r w:rsidR="0058069D" w:rsidRPr="046F22F9">
        <w:t xml:space="preserve">osts </w:t>
      </w:r>
      <w:r w:rsidR="00D76367" w:rsidRPr="046F22F9">
        <w:t xml:space="preserve">will </w:t>
      </w:r>
      <w:r w:rsidR="005B2200" w:rsidRPr="046F22F9">
        <w:t xml:space="preserve">be </w:t>
      </w:r>
      <w:r w:rsidR="00D76367" w:rsidRPr="046F22F9">
        <w:t>higher than</w:t>
      </w:r>
      <w:r w:rsidR="0058069D" w:rsidRPr="046F22F9">
        <w:t xml:space="preserve"> the expected outcome, but</w:t>
      </w:r>
      <w:r w:rsidR="005C34B3" w:rsidRPr="046F22F9">
        <w:t xml:space="preserve"> lower</w:t>
      </w:r>
      <w:r w:rsidR="000B3A6B">
        <w:rPr>
          <w:szCs w:val="24"/>
        </w:rPr>
        <w:t xml:space="preserve"> </w:t>
      </w:r>
      <w:r w:rsidR="00D76367" w:rsidRPr="046F22F9">
        <w:t>in probability</w:t>
      </w:r>
      <w:r w:rsidR="0058069D" w:rsidRPr="046F22F9">
        <w:t xml:space="preserve"> of occurrence</w:t>
      </w:r>
      <w:r w:rsidR="000B3A6B">
        <w:rPr>
          <w:szCs w:val="24"/>
        </w:rPr>
        <w:t xml:space="preserve">. </w:t>
      </w:r>
      <w:r w:rsidR="0058069D" w:rsidRPr="046F22F9">
        <w:t>T</w:t>
      </w:r>
      <w:r w:rsidR="005B2200" w:rsidRPr="046F22F9">
        <w:t xml:space="preserve">he </w:t>
      </w:r>
      <w:r w:rsidR="00D76367" w:rsidRPr="046F22F9">
        <w:t xml:space="preserve">significantly higher </w:t>
      </w:r>
      <w:r w:rsidR="00E639D8" w:rsidRPr="046F22F9">
        <w:t xml:space="preserve">costs </w:t>
      </w:r>
      <w:r w:rsidR="005C34B3" w:rsidRPr="046F22F9">
        <w:t>from these cases represent</w:t>
      </w:r>
      <w:r w:rsidR="0058069D">
        <w:rPr>
          <w:szCs w:val="24"/>
        </w:rPr>
        <w:t xml:space="preserve"> </w:t>
      </w:r>
      <w:r w:rsidR="00212AAD" w:rsidRPr="046F22F9">
        <w:t xml:space="preserve">risk </w:t>
      </w:r>
      <w:r w:rsidR="0058069D" w:rsidRPr="046F22F9">
        <w:t>that</w:t>
      </w:r>
      <w:r w:rsidR="00212AAD" w:rsidRPr="046F22F9">
        <w:t xml:space="preserve"> should be considered when recommending a TRM</w:t>
      </w:r>
      <w:r w:rsidR="0058069D" w:rsidRPr="046F22F9">
        <w:t xml:space="preserve"> because some of that risk may be mitigated at</w:t>
      </w:r>
      <w:r w:rsidR="00CF31ED" w:rsidRPr="046F22F9">
        <w:t xml:space="preserve"> a</w:t>
      </w:r>
      <w:r w:rsidR="0058069D" w:rsidRPr="046F22F9">
        <w:t xml:space="preserve"> low incremental cost</w:t>
      </w:r>
      <w:r w:rsidR="00D76367" w:rsidRPr="00421157">
        <w:rPr>
          <w:szCs w:val="24"/>
        </w:rPr>
        <w:t xml:space="preserve">. </w:t>
      </w:r>
      <w:r w:rsidRPr="046F22F9">
        <w:t xml:space="preserve">The approach taken to </w:t>
      </w:r>
      <w:r w:rsidR="0058069D" w:rsidRPr="046F22F9">
        <w:t>mitigate</w:t>
      </w:r>
      <w:r w:rsidRPr="046F22F9">
        <w:t xml:space="preserve"> the risk </w:t>
      </w:r>
      <w:r w:rsidR="00D76367" w:rsidRPr="046F22F9">
        <w:t xml:space="preserve">of potential </w:t>
      </w:r>
      <w:r w:rsidR="003A3681" w:rsidRPr="046F22F9">
        <w:t>high-cost</w:t>
      </w:r>
      <w:r w:rsidR="00D76367" w:rsidRPr="046F22F9">
        <w:t xml:space="preserve"> outcomes </w:t>
      </w:r>
      <w:r w:rsidR="005C34B3" w:rsidRPr="046F22F9">
        <w:t>involves</w:t>
      </w:r>
      <w:r w:rsidR="003A3681">
        <w:t xml:space="preserve"> the </w:t>
      </w:r>
      <w:r w:rsidR="005C34B3" w:rsidRPr="046F22F9">
        <w:t>us</w:t>
      </w:r>
      <w:r w:rsidR="003A3681">
        <w:t>e of</w:t>
      </w:r>
      <w:r w:rsidRPr="00421157">
        <w:rPr>
          <w:szCs w:val="24"/>
        </w:rPr>
        <w:t xml:space="preserve"> </w:t>
      </w:r>
      <w:r w:rsidR="00D76367" w:rsidRPr="046F22F9">
        <w:t>a</w:t>
      </w:r>
      <w:r w:rsidR="00D76367" w:rsidRPr="00421157">
        <w:rPr>
          <w:szCs w:val="24"/>
        </w:rPr>
        <w:t xml:space="preserve"> </w:t>
      </w:r>
      <w:r w:rsidRPr="046F22F9">
        <w:t>risk metric</w:t>
      </w:r>
      <w:r w:rsidR="00D76367" w:rsidRPr="046F22F9">
        <w:t xml:space="preserve"> called</w:t>
      </w:r>
      <w:r w:rsidRPr="046F22F9">
        <w:t xml:space="preserve"> Value at Risk (</w:t>
      </w:r>
      <w:r w:rsidR="008E2FDE">
        <w:rPr>
          <w:szCs w:val="24"/>
        </w:rPr>
        <w:t>“</w:t>
      </w:r>
      <w:r w:rsidRPr="046F22F9">
        <w:t>VaR</w:t>
      </w:r>
      <w:r w:rsidR="008E2FDE">
        <w:rPr>
          <w:szCs w:val="24"/>
        </w:rPr>
        <w:t>”</w:t>
      </w:r>
      <w:r w:rsidRPr="00421157">
        <w:rPr>
          <w:szCs w:val="24"/>
        </w:rPr>
        <w:t>)</w:t>
      </w:r>
      <w:r w:rsidR="00D76367">
        <w:rPr>
          <w:szCs w:val="24"/>
        </w:rPr>
        <w:t>.</w:t>
      </w:r>
      <w:r w:rsidR="00A648A6">
        <w:rPr>
          <w:szCs w:val="24"/>
        </w:rPr>
        <w:t xml:space="preserve"> </w:t>
      </w:r>
      <w:r w:rsidR="002B0CBD" w:rsidRPr="046F22F9">
        <w:t>VaR is defined as the difference in cost at the expected value and at some specified c</w:t>
      </w:r>
      <w:r w:rsidR="0052512E" w:rsidRPr="046F22F9">
        <w:t>onfidence interval (</w:t>
      </w:r>
      <w:r w:rsidR="0052512E" w:rsidRPr="046F22F9">
        <w:rPr>
          <w:i/>
        </w:rPr>
        <w:t>e.g.</w:t>
      </w:r>
      <w:r w:rsidR="0052512E" w:rsidRPr="046F22F9">
        <w:t>, the 8</w:t>
      </w:r>
      <w:r w:rsidR="006E1CC0" w:rsidRPr="046F22F9">
        <w:t>5</w:t>
      </w:r>
      <w:r w:rsidR="002B0CBD" w:rsidRPr="046F22F9">
        <w:rPr>
          <w:vertAlign w:val="superscript"/>
        </w:rPr>
        <w:t>th</w:t>
      </w:r>
      <w:r w:rsidR="002B0CBD" w:rsidRPr="046F22F9">
        <w:t xml:space="preserve"> percentile of risk).</w:t>
      </w:r>
      <w:r w:rsidR="00A648A6">
        <w:rPr>
          <w:szCs w:val="24"/>
        </w:rPr>
        <w:t xml:space="preserve"> </w:t>
      </w:r>
      <w:r w:rsidR="002B0CBD" w:rsidRPr="046F22F9">
        <w:t xml:space="preserve">The VaR analysis looks at the incremental increase in expected cost to move from one reserve margin to the next reserve margin and compares that with the incremental decrease in VaR. The point at which the incremental increase in </w:t>
      </w:r>
      <w:r w:rsidR="002B3B04" w:rsidRPr="046F22F9">
        <w:t xml:space="preserve">total system </w:t>
      </w:r>
      <w:r w:rsidR="002B0CBD" w:rsidRPr="046F22F9">
        <w:t>cost</w:t>
      </w:r>
      <w:r w:rsidR="002B3B04" w:rsidRPr="046F22F9">
        <w:rPr>
          <w:rStyle w:val="FootnoteReference"/>
        </w:rPr>
        <w:footnoteReference w:id="7"/>
      </w:r>
      <w:r w:rsidR="002B0CBD" w:rsidRPr="046F22F9">
        <w:t xml:space="preserve"> equals the incremental decrease in VaR represents the EORM at that confidence interval (as opposed to the EORM at the weighted average).</w:t>
      </w:r>
      <w:r w:rsidR="00A648A6">
        <w:t xml:space="preserve"> </w:t>
      </w:r>
      <w:r w:rsidR="002B0CBD" w:rsidRPr="046F22F9">
        <w:t xml:space="preserve">This analysis was performed at </w:t>
      </w:r>
      <w:r w:rsidR="007257E3" w:rsidRPr="046F22F9">
        <w:t>various confidence intervals</w:t>
      </w:r>
      <w:r w:rsidR="0052512E" w:rsidRPr="046F22F9">
        <w:t xml:space="preserve"> ranging from the </w:t>
      </w:r>
      <w:r w:rsidR="006E1CC0" w:rsidRPr="046F22F9">
        <w:t>75</w:t>
      </w:r>
      <w:r w:rsidR="0052512E" w:rsidRPr="046F22F9">
        <w:rPr>
          <w:vertAlign w:val="superscript"/>
        </w:rPr>
        <w:t>th</w:t>
      </w:r>
      <w:r w:rsidR="0052512E" w:rsidRPr="046F22F9">
        <w:t xml:space="preserve"> confidence interval up to the 95</w:t>
      </w:r>
      <w:r w:rsidR="0052512E" w:rsidRPr="046F22F9">
        <w:rPr>
          <w:vertAlign w:val="superscript"/>
        </w:rPr>
        <w:t>th</w:t>
      </w:r>
      <w:r w:rsidR="0052512E" w:rsidRPr="046F22F9">
        <w:t xml:space="preserve"> confidence interval</w:t>
      </w:r>
      <w:r w:rsidR="00CF31ED">
        <w:rPr>
          <w:szCs w:val="24"/>
        </w:rPr>
        <w:t>,</w:t>
      </w:r>
      <w:r w:rsidR="002B0CBD" w:rsidRPr="046F22F9">
        <w:t xml:space="preserve"> using 0.25% reserve margin increments</w:t>
      </w:r>
      <w:r w:rsidR="007257E3">
        <w:rPr>
          <w:szCs w:val="24"/>
        </w:rPr>
        <w:t xml:space="preserve">. </w:t>
      </w:r>
    </w:p>
    <w:p w14:paraId="288A4C25" w14:textId="77777777" w:rsidR="00D71BAC" w:rsidRDefault="00D71BAC" w:rsidP="00DB641B">
      <w:pPr>
        <w:rPr>
          <w:szCs w:val="24"/>
        </w:rPr>
      </w:pPr>
    </w:p>
    <w:p w14:paraId="039F11B5" w14:textId="4BC2CCE0" w:rsidR="006E15CF" w:rsidRDefault="009F646E" w:rsidP="006E15CF">
      <w:r w:rsidRPr="15B236EB">
        <w:t>Th</w:t>
      </w:r>
      <w:r w:rsidR="00537602" w:rsidRPr="15B236EB">
        <w:t>e</w:t>
      </w:r>
      <w:r w:rsidR="003B080E" w:rsidRPr="15B236EB">
        <w:t xml:space="preserve"> adjusted EORM at each confidence interval </w:t>
      </w:r>
      <w:r w:rsidRPr="15B236EB">
        <w:t xml:space="preserve">can be demonstrated graphically by developing </w:t>
      </w:r>
      <w:r w:rsidR="003B080E" w:rsidRPr="15B236EB">
        <w:t>their respective</w:t>
      </w:r>
      <w:r w:rsidRPr="15B236EB">
        <w:t xml:space="preserve"> U-Curve</w:t>
      </w:r>
      <w:r w:rsidR="003B080E" w:rsidRPr="15B236EB">
        <w:t>s</w:t>
      </w:r>
      <w:r>
        <w:rPr>
          <w:szCs w:val="24"/>
        </w:rPr>
        <w:t xml:space="preserve"> </w:t>
      </w:r>
      <w:r w:rsidR="003B080E" w:rsidRPr="15B236EB">
        <w:t xml:space="preserve">which represent the sum of the expected cost and value at risk </w:t>
      </w:r>
      <w:r w:rsidR="00537602" w:rsidRPr="15B236EB">
        <w:t>for</w:t>
      </w:r>
      <w:r w:rsidR="003B080E" w:rsidRPr="15B236EB">
        <w:t xml:space="preserve"> each reserve margin </w:t>
      </w:r>
      <w:r w:rsidR="00537602" w:rsidRPr="15B236EB">
        <w:t>level</w:t>
      </w:r>
      <w:r>
        <w:rPr>
          <w:szCs w:val="24"/>
        </w:rPr>
        <w:t xml:space="preserve">. </w:t>
      </w:r>
      <w:r w:rsidR="00A32EF0">
        <w:rPr>
          <w:szCs w:val="24"/>
        </w:rPr>
        <w:fldChar w:fldCharType="begin"/>
      </w:r>
      <w:r w:rsidR="00A32EF0">
        <w:rPr>
          <w:szCs w:val="24"/>
        </w:rPr>
        <w:instrText xml:space="preserve"> REF _Ref83891383 \h </w:instrText>
      </w:r>
      <w:r w:rsidR="00A32EF0">
        <w:rPr>
          <w:szCs w:val="24"/>
        </w:rPr>
      </w:r>
      <w:r w:rsidR="00A32EF0">
        <w:rPr>
          <w:szCs w:val="24"/>
        </w:rPr>
        <w:fldChar w:fldCharType="separate"/>
      </w:r>
      <w:r w:rsidR="00161C58">
        <w:t xml:space="preserve">Figure </w:t>
      </w:r>
      <w:r w:rsidR="00161C58">
        <w:rPr>
          <w:noProof/>
        </w:rPr>
        <w:t>3</w:t>
      </w:r>
      <w:r w:rsidR="00A32EF0">
        <w:rPr>
          <w:szCs w:val="24"/>
        </w:rPr>
        <w:fldChar w:fldCharType="end"/>
      </w:r>
      <w:r w:rsidRPr="15B236EB">
        <w:t xml:space="preserve"> below shows that if the U-Curve</w:t>
      </w:r>
      <w:r w:rsidR="009B1CB8" w:rsidRPr="15B236EB">
        <w:t xml:space="preserve"> is drawn</w:t>
      </w:r>
      <w:r w:rsidRPr="15B236EB">
        <w:t xml:space="preserve"> at </w:t>
      </w:r>
      <w:r w:rsidR="003B080E" w:rsidRPr="15B236EB">
        <w:t xml:space="preserve">each </w:t>
      </w:r>
      <w:r w:rsidRPr="15B236EB">
        <w:t>confidence interval</w:t>
      </w:r>
      <w:r w:rsidR="003B080E" w:rsidRPr="15B236EB">
        <w:t xml:space="preserve"> from the 75</w:t>
      </w:r>
      <w:r w:rsidR="003B080E" w:rsidRPr="15B236EB">
        <w:rPr>
          <w:vertAlign w:val="superscript"/>
        </w:rPr>
        <w:t>th</w:t>
      </w:r>
      <w:r w:rsidR="003B080E" w:rsidRPr="15B236EB">
        <w:t xml:space="preserve"> to the 95</w:t>
      </w:r>
      <w:r w:rsidR="003B080E" w:rsidRPr="15B236EB">
        <w:rPr>
          <w:vertAlign w:val="superscript"/>
        </w:rPr>
        <w:t>th</w:t>
      </w:r>
      <w:r w:rsidRPr="15B236EB">
        <w:t>, th</w:t>
      </w:r>
      <w:r w:rsidR="00537602" w:rsidRPr="15B236EB">
        <w:t xml:space="preserve">is adjusted </w:t>
      </w:r>
      <w:r w:rsidRPr="15B236EB">
        <w:t xml:space="preserve">EORM is </w:t>
      </w:r>
      <w:r w:rsidR="00537602" w:rsidRPr="15B236EB">
        <w:t>higher than the expected case EORM,</w:t>
      </w:r>
      <w:r w:rsidRPr="15B236EB">
        <w:t xml:space="preserve"> 2</w:t>
      </w:r>
      <w:r w:rsidR="00ED39EF" w:rsidRPr="15B236EB">
        <w:t>2</w:t>
      </w:r>
      <w:r>
        <w:rPr>
          <w:szCs w:val="24"/>
        </w:rPr>
        <w:t>.</w:t>
      </w:r>
      <w:r w:rsidR="00DA0DDB" w:rsidRPr="15B236EB">
        <w:t>75</w:t>
      </w:r>
      <w:r w:rsidRPr="15B236EB">
        <w:t>%. Therefore, a reserve margin a few percentage points higher than the expected case EORM</w:t>
      </w:r>
      <w:r w:rsidRPr="00372AC4">
        <w:rPr>
          <w:szCs w:val="24"/>
        </w:rPr>
        <w:t xml:space="preserve"> </w:t>
      </w:r>
      <w:r w:rsidRPr="15B236EB">
        <w:t>benefit</w:t>
      </w:r>
      <w:r w:rsidR="00F34233" w:rsidRPr="15B236EB">
        <w:t>s</w:t>
      </w:r>
      <w:r w:rsidRPr="15B236EB">
        <w:t xml:space="preserve"> customers by eliminating</w:t>
      </w:r>
      <w:r w:rsidRPr="00372AC4">
        <w:rPr>
          <w:szCs w:val="24"/>
        </w:rPr>
        <w:t xml:space="preserve"> </w:t>
      </w:r>
      <w:r w:rsidRPr="15B236EB">
        <w:t>many of the more expensive scenarios (thereby reducing the customers’ exposure to cost risk)</w:t>
      </w:r>
      <w:r w:rsidR="008C4FB0" w:rsidRPr="15B236EB">
        <w:t xml:space="preserve"> without</w:t>
      </w:r>
      <w:r w:rsidRPr="15B236EB">
        <w:t xml:space="preserve"> significantly increas</w:t>
      </w:r>
      <w:r w:rsidR="008C4FB0" w:rsidRPr="15B236EB">
        <w:t>ing</w:t>
      </w:r>
      <w:r w:rsidRPr="15B236EB">
        <w:t xml:space="preserve"> expected costs</w:t>
      </w:r>
      <w:r w:rsidR="008C4FB0" w:rsidRPr="15B236EB">
        <w:t>. This outcome</w:t>
      </w:r>
      <w:r w:rsidR="00212AAD">
        <w:rPr>
          <w:szCs w:val="24"/>
        </w:rPr>
        <w:t xml:space="preserve"> </w:t>
      </w:r>
      <w:r w:rsidRPr="15B236EB">
        <w:t>represent</w:t>
      </w:r>
      <w:r w:rsidR="008C4FB0" w:rsidRPr="15B236EB">
        <w:t>s</w:t>
      </w:r>
      <w:r w:rsidRPr="15B236EB">
        <w:t xml:space="preserve"> the </w:t>
      </w:r>
      <w:r w:rsidR="00E30BF3" w:rsidRPr="15B236EB">
        <w:t xml:space="preserve">risk-adjusted </w:t>
      </w:r>
      <w:r w:rsidRPr="15B236EB">
        <w:t>EORM at that confidence interval.</w:t>
      </w:r>
    </w:p>
    <w:p w14:paraId="69392678" w14:textId="77777777" w:rsidR="00E315FE" w:rsidRDefault="00E315FE" w:rsidP="006E15CF">
      <w:pPr>
        <w:rPr>
          <w:szCs w:val="24"/>
        </w:rPr>
      </w:pPr>
    </w:p>
    <w:p w14:paraId="646BBE5A" w14:textId="576E65C7" w:rsidR="006E15CF" w:rsidRDefault="00E315FE" w:rsidP="006E15CF">
      <w:pPr>
        <w:rPr>
          <w:szCs w:val="24"/>
        </w:rPr>
      </w:pPr>
      <w:r>
        <w:rPr>
          <w:szCs w:val="24"/>
        </w:rPr>
        <w:t xml:space="preserve">Similar U-Curves for </w:t>
      </w:r>
      <w:r w:rsidR="00010053">
        <w:rPr>
          <w:szCs w:val="24"/>
        </w:rPr>
        <w:t>summer</w:t>
      </w:r>
      <w:r>
        <w:rPr>
          <w:szCs w:val="24"/>
        </w:rPr>
        <w:t xml:space="preserve"> at each confidence interval from </w:t>
      </w:r>
      <w:r w:rsidR="00010053">
        <w:rPr>
          <w:szCs w:val="24"/>
        </w:rPr>
        <w:t>the 75</w:t>
      </w:r>
      <w:r w:rsidR="00010053" w:rsidRPr="00010053">
        <w:rPr>
          <w:szCs w:val="24"/>
          <w:vertAlign w:val="superscript"/>
        </w:rPr>
        <w:t>th</w:t>
      </w:r>
      <w:r w:rsidR="00010053">
        <w:rPr>
          <w:szCs w:val="24"/>
        </w:rPr>
        <w:t xml:space="preserve"> to the 95</w:t>
      </w:r>
      <w:r w:rsidR="00010053" w:rsidRPr="00010053">
        <w:rPr>
          <w:szCs w:val="24"/>
          <w:vertAlign w:val="superscript"/>
        </w:rPr>
        <w:t>th</w:t>
      </w:r>
      <w:r w:rsidR="00010053">
        <w:rPr>
          <w:szCs w:val="24"/>
        </w:rPr>
        <w:t xml:space="preserve"> are shown in </w:t>
      </w:r>
      <w:r w:rsidR="0020016A">
        <w:rPr>
          <w:szCs w:val="24"/>
        </w:rPr>
        <w:fldChar w:fldCharType="begin"/>
      </w:r>
      <w:r w:rsidR="0020016A">
        <w:rPr>
          <w:szCs w:val="24"/>
        </w:rPr>
        <w:instrText xml:space="preserve"> REF _Ref165016485 \h </w:instrText>
      </w:r>
      <w:r w:rsidR="0020016A">
        <w:rPr>
          <w:szCs w:val="24"/>
        </w:rPr>
      </w:r>
      <w:r w:rsidR="0020016A">
        <w:rPr>
          <w:szCs w:val="24"/>
        </w:rPr>
        <w:fldChar w:fldCharType="separate"/>
      </w:r>
      <w:r w:rsidR="0020016A">
        <w:t xml:space="preserve">Figure </w:t>
      </w:r>
      <w:r w:rsidR="0020016A">
        <w:rPr>
          <w:noProof/>
        </w:rPr>
        <w:t>4</w:t>
      </w:r>
      <w:r w:rsidR="0020016A">
        <w:rPr>
          <w:szCs w:val="24"/>
        </w:rPr>
        <w:fldChar w:fldCharType="end"/>
      </w:r>
      <w:r w:rsidR="00010053">
        <w:rPr>
          <w:szCs w:val="24"/>
        </w:rPr>
        <w:t>. As with the winter curves, the adjusted EORM is higher than the expected case EORM, 18.</w:t>
      </w:r>
      <w:r w:rsidR="006718FD">
        <w:rPr>
          <w:szCs w:val="24"/>
        </w:rPr>
        <w:t>2</w:t>
      </w:r>
      <w:r w:rsidR="00DA0DDB">
        <w:rPr>
          <w:szCs w:val="24"/>
        </w:rPr>
        <w:t>5</w:t>
      </w:r>
      <w:r w:rsidR="00010053">
        <w:rPr>
          <w:szCs w:val="24"/>
        </w:rPr>
        <w:t>%.</w:t>
      </w:r>
    </w:p>
    <w:p w14:paraId="2DB07360" w14:textId="098733FB" w:rsidR="00C72147" w:rsidRDefault="00A40455" w:rsidP="00C72147">
      <w:pPr>
        <w:keepNext/>
      </w:pPr>
      <w:r>
        <w:rPr>
          <w:noProof/>
        </w:rPr>
        <w:drawing>
          <wp:inline distT="0" distB="0" distL="0" distR="0" wp14:anchorId="72BB8D74" wp14:editId="6D79FE1B">
            <wp:extent cx="5879984" cy="4265930"/>
            <wp:effectExtent l="0" t="0" r="6985" b="1270"/>
            <wp:docPr id="2699757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02553" cy="4282304"/>
                    </a:xfrm>
                    <a:prstGeom prst="rect">
                      <a:avLst/>
                    </a:prstGeom>
                    <a:noFill/>
                  </pic:spPr>
                </pic:pic>
              </a:graphicData>
            </a:graphic>
          </wp:inline>
        </w:drawing>
      </w:r>
    </w:p>
    <w:p w14:paraId="1731A243" w14:textId="659F48F8" w:rsidR="0053151C" w:rsidRDefault="00C72147" w:rsidP="00C72147">
      <w:pPr>
        <w:pStyle w:val="Caption"/>
        <w:jc w:val="both"/>
      </w:pPr>
      <w:bookmarkStart w:id="7" w:name="_Ref83891383"/>
      <w:bookmarkStart w:id="8" w:name="_Ref83891365"/>
      <w:bookmarkStart w:id="9" w:name="_Toc187234657"/>
      <w:r>
        <w:t>Figure</w:t>
      </w:r>
      <w:r w:rsidR="00F262E6">
        <w:t xml:space="preserve"> </w:t>
      </w:r>
      <w:r w:rsidR="00F262E6">
        <w:fldChar w:fldCharType="begin"/>
      </w:r>
      <w:r w:rsidR="00F262E6">
        <w:instrText xml:space="preserve"> SEQ Figure \* ARABIC \s 1 </w:instrText>
      </w:r>
      <w:r w:rsidR="00F262E6">
        <w:fldChar w:fldCharType="separate"/>
      </w:r>
      <w:r w:rsidR="00F262E6">
        <w:rPr>
          <w:noProof/>
        </w:rPr>
        <w:t>3</w:t>
      </w:r>
      <w:r w:rsidR="00F262E6">
        <w:fldChar w:fldCharType="end"/>
      </w:r>
      <w:bookmarkEnd w:id="7"/>
      <w:r>
        <w:t>. Confidence Interval U-Curve (Winter)</w:t>
      </w:r>
      <w:bookmarkEnd w:id="8"/>
      <w:bookmarkEnd w:id="9"/>
    </w:p>
    <w:p w14:paraId="0F534D75" w14:textId="77777777" w:rsidR="00C03EBC" w:rsidRDefault="00C03EBC" w:rsidP="00DB641B">
      <w:pPr>
        <w:rPr>
          <w:szCs w:val="24"/>
        </w:rPr>
      </w:pPr>
    </w:p>
    <w:p w14:paraId="09CA3944" w14:textId="7F0F0257" w:rsidR="00010053" w:rsidRDefault="005E471B" w:rsidP="00DB641B">
      <w:pPr>
        <w:rPr>
          <w:szCs w:val="24"/>
        </w:rPr>
      </w:pPr>
      <w:r>
        <w:rPr>
          <w:noProof/>
          <w:szCs w:val="24"/>
        </w:rPr>
        <w:drawing>
          <wp:inline distT="0" distB="0" distL="0" distR="0" wp14:anchorId="71F5F1FB" wp14:editId="10B9C3FE">
            <wp:extent cx="5906242" cy="4284980"/>
            <wp:effectExtent l="0" t="0" r="0" b="1270"/>
            <wp:docPr id="84575997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11783" cy="4289000"/>
                    </a:xfrm>
                    <a:prstGeom prst="rect">
                      <a:avLst/>
                    </a:prstGeom>
                    <a:noFill/>
                  </pic:spPr>
                </pic:pic>
              </a:graphicData>
            </a:graphic>
          </wp:inline>
        </w:drawing>
      </w:r>
    </w:p>
    <w:p w14:paraId="58DF24FD" w14:textId="38B50B53" w:rsidR="00010053" w:rsidRDefault="00010053" w:rsidP="00010053">
      <w:pPr>
        <w:pStyle w:val="Caption"/>
        <w:rPr>
          <w:szCs w:val="24"/>
        </w:rPr>
      </w:pPr>
      <w:bookmarkStart w:id="10" w:name="_Ref165016485"/>
      <w:bookmarkStart w:id="11" w:name="_Toc187234658"/>
      <w:r>
        <w:t>Figure</w:t>
      </w:r>
      <w:r w:rsidR="00F262E6">
        <w:t xml:space="preserve"> </w:t>
      </w:r>
      <w:r w:rsidR="00F262E6">
        <w:fldChar w:fldCharType="begin"/>
      </w:r>
      <w:r w:rsidR="00F262E6">
        <w:instrText xml:space="preserve"> SEQ Figure \* ARABIC \s 1 </w:instrText>
      </w:r>
      <w:r w:rsidR="00F262E6">
        <w:fldChar w:fldCharType="separate"/>
      </w:r>
      <w:r w:rsidR="00F262E6">
        <w:rPr>
          <w:noProof/>
        </w:rPr>
        <w:t>4</w:t>
      </w:r>
      <w:r w:rsidR="00F262E6">
        <w:fldChar w:fldCharType="end"/>
      </w:r>
      <w:bookmarkEnd w:id="10"/>
      <w:r>
        <w:t>. Confidence Interval U-Curve (Summer)</w:t>
      </w:r>
      <w:bookmarkEnd w:id="11"/>
    </w:p>
    <w:p w14:paraId="67CF2159" w14:textId="77777777" w:rsidR="00010053" w:rsidRDefault="00010053" w:rsidP="00DB641B">
      <w:pPr>
        <w:rPr>
          <w:szCs w:val="24"/>
        </w:rPr>
      </w:pPr>
    </w:p>
    <w:p w14:paraId="073BB664" w14:textId="6E119AA3" w:rsidR="0020016A" w:rsidRDefault="00A35FCA" w:rsidP="00DB641B">
      <w:r>
        <w:t xml:space="preserve">Additionally, the </w:t>
      </w:r>
      <w:r w:rsidR="00EE1843">
        <w:t>R</w:t>
      </w:r>
      <w:r w:rsidR="00073CC6">
        <w:t xml:space="preserve">eserve </w:t>
      </w:r>
      <w:r w:rsidR="00EE1843">
        <w:t>M</w:t>
      </w:r>
      <w:r w:rsidR="00073CC6">
        <w:t xml:space="preserve">argin </w:t>
      </w:r>
      <w:r w:rsidR="00EE1843">
        <w:t>S</w:t>
      </w:r>
      <w:r w:rsidR="00073CC6">
        <w:t xml:space="preserve">tudy </w:t>
      </w:r>
      <w:r w:rsidR="00F87C4A">
        <w:t xml:space="preserve">considers the LOLE </w:t>
      </w:r>
      <w:r w:rsidR="00073CC6">
        <w:t>reliability metric.</w:t>
      </w:r>
      <w:r w:rsidR="00A648A6">
        <w:t xml:space="preserve"> </w:t>
      </w:r>
      <w:r w:rsidR="00AC768B">
        <w:t xml:space="preserve">Common practice in the industry is to ensure that the </w:t>
      </w:r>
      <w:r w:rsidR="00B61572">
        <w:t>TRM</w:t>
      </w:r>
      <w:r w:rsidR="00AC768B">
        <w:t xml:space="preserve"> for planning purposes remains above </w:t>
      </w:r>
      <w:r w:rsidR="00DE23E0">
        <w:t xml:space="preserve">the </w:t>
      </w:r>
      <w:r w:rsidR="001E7ABC">
        <w:t>annual</w:t>
      </w:r>
      <w:r w:rsidR="00DE23E0">
        <w:t xml:space="preserve"> 1:10</w:t>
      </w:r>
      <w:r w:rsidR="001E7ABC">
        <w:t xml:space="preserve"> </w:t>
      </w:r>
      <w:r w:rsidR="00AC768B">
        <w:t>LOLE threshold.</w:t>
      </w:r>
      <w:r w:rsidR="00A648A6">
        <w:t xml:space="preserve"> </w:t>
      </w:r>
      <w:r w:rsidR="00AC768B">
        <w:t>LOLE has always been considered as part of the reserve margin studie</w:t>
      </w:r>
      <w:r w:rsidR="002B1A0C">
        <w:t>s</w:t>
      </w:r>
      <w:r w:rsidR="7A103E89">
        <w:t>.</w:t>
      </w:r>
      <w:r w:rsidR="002B1A0C">
        <w:t xml:space="preserve"> </w:t>
      </w:r>
      <w:r w:rsidR="440D2E45">
        <w:t>T</w:t>
      </w:r>
      <w:r w:rsidR="00D03B6C">
        <w:t>he 1:10 LOLE threshold</w:t>
      </w:r>
      <w:r w:rsidR="002B1A0C">
        <w:t xml:space="preserve"> was below the </w:t>
      </w:r>
      <w:r w:rsidR="00D03B6C">
        <w:t>risk-adjusted EORM at the 85</w:t>
      </w:r>
      <w:r w:rsidR="00D03B6C" w:rsidRPr="5508F194">
        <w:rPr>
          <w:vertAlign w:val="superscript"/>
        </w:rPr>
        <w:t>th</w:t>
      </w:r>
      <w:r w:rsidR="00D03B6C">
        <w:t xml:space="preserve"> confidence interval </w:t>
      </w:r>
      <w:r w:rsidR="002B1A0C">
        <w:t>in the 20</w:t>
      </w:r>
      <w:r w:rsidR="00D03B6C">
        <w:t>18 and 2021</w:t>
      </w:r>
      <w:r w:rsidR="002B1A0C">
        <w:t xml:space="preserve"> Reserve Margin Stud</w:t>
      </w:r>
      <w:r w:rsidR="00D03B6C">
        <w:t>ies</w:t>
      </w:r>
      <w:r w:rsidR="002B1A0C">
        <w:t xml:space="preserve"> </w:t>
      </w:r>
      <w:r w:rsidR="00D03B6C">
        <w:t>although it was above the</w:t>
      </w:r>
      <w:r w:rsidR="00CD2D5B">
        <w:t xml:space="preserve"> expected case</w:t>
      </w:r>
      <w:r w:rsidR="00D03B6C">
        <w:t xml:space="preserve"> EORM in the 2018 study. However, in th</w:t>
      </w:r>
      <w:r w:rsidR="00CD2D5B">
        <w:t>is</w:t>
      </w:r>
      <w:r w:rsidR="00D03B6C">
        <w:t xml:space="preserve"> 2024 </w:t>
      </w:r>
      <w:r w:rsidR="00CD2D5B">
        <w:t>S</w:t>
      </w:r>
      <w:r w:rsidR="00D03B6C">
        <w:t>tudy, the 1:10 LOLE threshold is now above the 2</w:t>
      </w:r>
      <w:r w:rsidR="001E7ABC">
        <w:t>5</w:t>
      </w:r>
      <w:r w:rsidR="00D03B6C">
        <w:t>.</w:t>
      </w:r>
      <w:r w:rsidR="001E7ABC">
        <w:t>00</w:t>
      </w:r>
      <w:r w:rsidR="00D03B6C">
        <w:t>% risk-adjusted EORM at the 85</w:t>
      </w:r>
      <w:r w:rsidR="00D03B6C" w:rsidRPr="5508F194">
        <w:rPr>
          <w:vertAlign w:val="superscript"/>
        </w:rPr>
        <w:t>th</w:t>
      </w:r>
      <w:r w:rsidR="00D03B6C">
        <w:t xml:space="preserve"> confidence interval. </w:t>
      </w:r>
    </w:p>
    <w:p w14:paraId="204888EB" w14:textId="77777777" w:rsidR="0020016A" w:rsidRDefault="0020016A" w:rsidP="00DB641B">
      <w:pPr>
        <w:rPr>
          <w:szCs w:val="24"/>
        </w:rPr>
      </w:pPr>
    </w:p>
    <w:p w14:paraId="34972C29" w14:textId="77777777" w:rsidR="00746FFF" w:rsidRDefault="00746FFF" w:rsidP="00DB641B">
      <w:pPr>
        <w:rPr>
          <w:szCs w:val="24"/>
        </w:rPr>
      </w:pPr>
    </w:p>
    <w:p w14:paraId="6D59EFF2" w14:textId="77777777" w:rsidR="00D03B6C" w:rsidRDefault="00D03B6C" w:rsidP="00DB641B">
      <w:pPr>
        <w:rPr>
          <w:szCs w:val="24"/>
        </w:rPr>
      </w:pPr>
    </w:p>
    <w:p w14:paraId="5A22397B" w14:textId="77777777" w:rsidR="00D03B6C" w:rsidRDefault="00D03B6C" w:rsidP="00DB641B">
      <w:pPr>
        <w:rPr>
          <w:szCs w:val="24"/>
        </w:rPr>
      </w:pPr>
    </w:p>
    <w:p w14:paraId="2AD6E735" w14:textId="77777777" w:rsidR="00D03B6C" w:rsidRDefault="00D03B6C" w:rsidP="00DB641B">
      <w:pPr>
        <w:rPr>
          <w:szCs w:val="24"/>
        </w:rPr>
      </w:pPr>
    </w:p>
    <w:p w14:paraId="23AD6CC0" w14:textId="25E789E9" w:rsidR="0020016A" w:rsidRDefault="008D1228" w:rsidP="0020016A">
      <w:r>
        <w:rPr>
          <w:szCs w:val="24"/>
        </w:rPr>
        <w:fldChar w:fldCharType="begin"/>
      </w:r>
      <w:r>
        <w:rPr>
          <w:szCs w:val="24"/>
        </w:rPr>
        <w:instrText xml:space="preserve"> REF _Ref513785297 \h </w:instrText>
      </w:r>
      <w:r>
        <w:rPr>
          <w:szCs w:val="24"/>
        </w:rPr>
      </w:r>
      <w:r>
        <w:rPr>
          <w:szCs w:val="24"/>
        </w:rPr>
        <w:fldChar w:fldCharType="separate"/>
      </w:r>
      <w:r w:rsidR="0020016A">
        <w:t xml:space="preserve">Figure </w:t>
      </w:r>
      <w:r w:rsidR="0020016A">
        <w:rPr>
          <w:noProof/>
        </w:rPr>
        <w:t>5</w:t>
      </w:r>
      <w:r>
        <w:rPr>
          <w:szCs w:val="24"/>
        </w:rPr>
        <w:fldChar w:fldCharType="end"/>
      </w:r>
      <w:r>
        <w:rPr>
          <w:szCs w:val="24"/>
        </w:rPr>
        <w:t xml:space="preserve"> </w:t>
      </w:r>
      <w:r w:rsidR="00AC768B" w:rsidRPr="5508F194">
        <w:t xml:space="preserve">below shows the relationship between LOLE and reserve margin for the </w:t>
      </w:r>
      <w:r w:rsidR="002C1496" w:rsidRPr="5508F194">
        <w:t>w</w:t>
      </w:r>
      <w:r w:rsidR="00AC768B" w:rsidRPr="5508F194">
        <w:t>inter</w:t>
      </w:r>
      <w:r w:rsidR="00ED7C0C">
        <w:rPr>
          <w:szCs w:val="24"/>
        </w:rPr>
        <w:t>-</w:t>
      </w:r>
      <w:r w:rsidR="002C1496" w:rsidRPr="5508F194">
        <w:t>f</w:t>
      </w:r>
      <w:r w:rsidR="00AC768B" w:rsidRPr="5508F194">
        <w:t>ocus</w:t>
      </w:r>
      <w:r w:rsidR="002C1496" w:rsidRPr="5508F194">
        <w:t>ed</w:t>
      </w:r>
      <w:r w:rsidR="00AC768B">
        <w:rPr>
          <w:szCs w:val="24"/>
        </w:rPr>
        <w:t xml:space="preserve"> </w:t>
      </w:r>
      <w:r w:rsidR="002C1496" w:rsidRPr="5508F194">
        <w:t>s</w:t>
      </w:r>
      <w:r w:rsidR="00AC768B" w:rsidRPr="5508F194">
        <w:t>tudy.</w:t>
      </w:r>
      <w:r w:rsidR="00A648A6">
        <w:t xml:space="preserve"> </w:t>
      </w:r>
      <w:r w:rsidR="00AC768B" w:rsidRPr="5508F194">
        <w:t xml:space="preserve">The figure shows that the curve crosses the </w:t>
      </w:r>
      <w:r w:rsidR="000D6D7D" w:rsidRPr="5508F194">
        <w:t>1:10</w:t>
      </w:r>
      <w:r w:rsidR="00AC768B" w:rsidRPr="5508F194">
        <w:t xml:space="preserve"> LOLE threshold </w:t>
      </w:r>
      <w:r w:rsidR="000D6D7D">
        <w:rPr>
          <w:szCs w:val="24"/>
        </w:rPr>
        <w:t>(</w:t>
      </w:r>
      <w:r w:rsidR="000D6D7D" w:rsidRPr="5508F194">
        <w:rPr>
          <w:i/>
        </w:rPr>
        <w:t>i.e.</w:t>
      </w:r>
      <w:r w:rsidR="000D6D7D">
        <w:rPr>
          <w:szCs w:val="24"/>
        </w:rPr>
        <w:t xml:space="preserve">, </w:t>
      </w:r>
      <w:r w:rsidR="000D6D7D" w:rsidRPr="5508F194">
        <w:t xml:space="preserve">an LOLE of 0.1 days per year) </w:t>
      </w:r>
      <w:r w:rsidR="00AE5F24" w:rsidRPr="5508F194">
        <w:t>slightly above the</w:t>
      </w:r>
      <w:r w:rsidR="00AC768B" w:rsidRPr="5508F194">
        <w:t xml:space="preserve"> 2</w:t>
      </w:r>
      <w:r w:rsidR="00D03B6C" w:rsidRPr="5508F194">
        <w:t>5.</w:t>
      </w:r>
      <w:r w:rsidR="005E471B" w:rsidRPr="5508F194">
        <w:t>50</w:t>
      </w:r>
      <w:r w:rsidR="00AC768B" w:rsidRPr="5508F194">
        <w:t xml:space="preserve">% reserve margin. </w:t>
      </w:r>
      <w:r w:rsidR="00D93D4F" w:rsidRPr="5508F194">
        <w:t xml:space="preserve">It is important that the TRM be above this 1:10 LOLE threshold to ensure an adequate level of reliability on the System. Otherwise, </w:t>
      </w:r>
      <w:r w:rsidR="2BECC663" w:rsidRPr="5508F194">
        <w:t>Southern Company System</w:t>
      </w:r>
      <w:r w:rsidR="00D93D4F" w:rsidRPr="5508F194">
        <w:t xml:space="preserve"> customers may be exposed to potential outages due to generation shortfalls more frequently than</w:t>
      </w:r>
      <w:r w:rsidR="00E16912">
        <w:rPr>
          <w:szCs w:val="24"/>
        </w:rPr>
        <w:t xml:space="preserve"> </w:t>
      </w:r>
      <w:r w:rsidR="00E16912" w:rsidRPr="5508F194" w:rsidDel="001429DD">
        <w:t>customers</w:t>
      </w:r>
      <w:r w:rsidR="00A40455">
        <w:t xml:space="preserve"> </w:t>
      </w:r>
      <w:r w:rsidR="00F63D48" w:rsidDel="001429DD">
        <w:t xml:space="preserve">in </w:t>
      </w:r>
      <w:r w:rsidR="00F63D48" w:rsidRPr="5508F194" w:rsidDel="001429DD">
        <w:t>other</w:t>
      </w:r>
      <w:r w:rsidR="00F63D48" w:rsidRPr="5508F194">
        <w:t xml:space="preserve"> regions of the country</w:t>
      </w:r>
      <w:r w:rsidR="00D93D4F">
        <w:rPr>
          <w:szCs w:val="24"/>
        </w:rPr>
        <w:t xml:space="preserve">. </w:t>
      </w:r>
      <w:r w:rsidR="0020016A" w:rsidRPr="5508F194">
        <w:t>Therefore, because the 1:10 LOLE threshold is greater than the risk adjusted EORM at the 85</w:t>
      </w:r>
      <w:r w:rsidR="0020016A" w:rsidRPr="5508F194">
        <w:rPr>
          <w:vertAlign w:val="superscript"/>
        </w:rPr>
        <w:t>th</w:t>
      </w:r>
      <w:r w:rsidR="0020016A" w:rsidRPr="5508F194">
        <w:t xml:space="preserve"> confidence interval in the 2024 Reserve Margin Study, the 1:10 LOLE threshold will be the primary driver in determination of the TRM.</w:t>
      </w:r>
    </w:p>
    <w:p w14:paraId="56F25949" w14:textId="77777777" w:rsidR="00010053" w:rsidRDefault="00010053" w:rsidP="00DB641B">
      <w:pPr>
        <w:rPr>
          <w:szCs w:val="24"/>
        </w:rPr>
      </w:pPr>
    </w:p>
    <w:p w14:paraId="6E2787BB" w14:textId="77777777" w:rsidR="00B61572" w:rsidRDefault="00B61572">
      <w:pPr>
        <w:spacing w:line="240" w:lineRule="auto"/>
        <w:jc w:val="left"/>
        <w:rPr>
          <w:b/>
          <w:szCs w:val="24"/>
        </w:rPr>
      </w:pPr>
    </w:p>
    <w:p w14:paraId="7D8F078B" w14:textId="71153DCA" w:rsidR="0053151C" w:rsidRDefault="009F482C" w:rsidP="0053151C">
      <w:pPr>
        <w:keepNext/>
      </w:pPr>
      <w:r>
        <w:rPr>
          <w:noProof/>
        </w:rPr>
        <w:drawing>
          <wp:inline distT="0" distB="0" distL="0" distR="0" wp14:anchorId="5491652C" wp14:editId="7F70E5BA">
            <wp:extent cx="5933543" cy="4309745"/>
            <wp:effectExtent l="0" t="0" r="0" b="0"/>
            <wp:docPr id="2043329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8389" cy="4313265"/>
                    </a:xfrm>
                    <a:prstGeom prst="rect">
                      <a:avLst/>
                    </a:prstGeom>
                    <a:noFill/>
                  </pic:spPr>
                </pic:pic>
              </a:graphicData>
            </a:graphic>
          </wp:inline>
        </w:drawing>
      </w:r>
    </w:p>
    <w:p w14:paraId="3DBAFC1F" w14:textId="4A84758A" w:rsidR="005D6415" w:rsidRDefault="005D6415" w:rsidP="005D6415">
      <w:pPr>
        <w:pStyle w:val="Caption"/>
        <w:jc w:val="both"/>
        <w:rPr>
          <w:szCs w:val="24"/>
        </w:rPr>
      </w:pPr>
      <w:bookmarkStart w:id="12" w:name="_Toc187234659"/>
      <w:bookmarkStart w:id="13" w:name="_Ref513785297"/>
      <w:bookmarkStart w:id="14" w:name="_Toc513710578"/>
      <w:r>
        <w:t xml:space="preserve">Figure </w:t>
      </w:r>
      <w:r>
        <w:fldChar w:fldCharType="begin"/>
      </w:r>
      <w:r>
        <w:instrText xml:space="preserve"> SEQ Figure \* ARABIC \s 1 </w:instrText>
      </w:r>
      <w:r>
        <w:fldChar w:fldCharType="separate"/>
      </w:r>
      <w:r w:rsidR="00CD2D5B">
        <w:rPr>
          <w:noProof/>
        </w:rPr>
        <w:t>5</w:t>
      </w:r>
      <w:r>
        <w:fldChar w:fldCharType="end"/>
      </w:r>
      <w:r>
        <w:t>. LOLE as a Function of Winter Reserve Margin</w:t>
      </w:r>
      <w:bookmarkEnd w:id="12"/>
    </w:p>
    <w:bookmarkEnd w:id="13"/>
    <w:bookmarkEnd w:id="14"/>
    <w:p w14:paraId="5FBAC64B" w14:textId="2D9131B8" w:rsidR="00073CC6" w:rsidRDefault="00073CC6" w:rsidP="00DB641B">
      <w:pPr>
        <w:rPr>
          <w:szCs w:val="24"/>
        </w:rPr>
      </w:pPr>
    </w:p>
    <w:p w14:paraId="362D3A48" w14:textId="0021BF37" w:rsidR="00743A70" w:rsidRDefault="00743A70" w:rsidP="00DB641B">
      <w:pPr>
        <w:rPr>
          <w:szCs w:val="24"/>
        </w:rPr>
      </w:pPr>
    </w:p>
    <w:p w14:paraId="29B15967" w14:textId="4844062E" w:rsidR="00743A70" w:rsidRDefault="00743A70" w:rsidP="00DB641B">
      <w:pPr>
        <w:rPr>
          <w:szCs w:val="24"/>
        </w:rPr>
      </w:pPr>
    </w:p>
    <w:p w14:paraId="1B56192B" w14:textId="7D215020" w:rsidR="00243717" w:rsidRDefault="00870667" w:rsidP="00DB641B">
      <w:pPr>
        <w:rPr>
          <w:szCs w:val="24"/>
        </w:rPr>
      </w:pPr>
      <w:r>
        <w:rPr>
          <w:szCs w:val="24"/>
        </w:rPr>
        <w:t>The 20</w:t>
      </w:r>
      <w:r w:rsidR="00746FFF">
        <w:rPr>
          <w:szCs w:val="24"/>
        </w:rPr>
        <w:t>2</w:t>
      </w:r>
      <w:r w:rsidR="00611E82">
        <w:rPr>
          <w:szCs w:val="24"/>
        </w:rPr>
        <w:t>4</w:t>
      </w:r>
      <w:r>
        <w:rPr>
          <w:szCs w:val="24"/>
        </w:rPr>
        <w:t xml:space="preserve"> Reserve Margin S</w:t>
      </w:r>
      <w:r w:rsidR="0013182C">
        <w:rPr>
          <w:szCs w:val="24"/>
        </w:rPr>
        <w:t xml:space="preserve">tudy recommends </w:t>
      </w:r>
      <w:r w:rsidR="00CA0E1B">
        <w:rPr>
          <w:szCs w:val="24"/>
        </w:rPr>
        <w:t>a</w:t>
      </w:r>
      <w:r w:rsidR="00073CC6">
        <w:rPr>
          <w:szCs w:val="24"/>
        </w:rPr>
        <w:t xml:space="preserve"> long-term</w:t>
      </w:r>
      <w:r w:rsidR="00CA0E1B">
        <w:rPr>
          <w:szCs w:val="24"/>
        </w:rPr>
        <w:t xml:space="preserve"> </w:t>
      </w:r>
      <w:r w:rsidR="00073CC6">
        <w:rPr>
          <w:szCs w:val="24"/>
        </w:rPr>
        <w:t xml:space="preserve">Winter </w:t>
      </w:r>
      <w:r w:rsidR="001A7372">
        <w:rPr>
          <w:szCs w:val="24"/>
        </w:rPr>
        <w:t>TRM</w:t>
      </w:r>
      <w:r w:rsidR="00073CC6">
        <w:rPr>
          <w:szCs w:val="24"/>
        </w:rPr>
        <w:t xml:space="preserve"> </w:t>
      </w:r>
      <w:r w:rsidR="00CA0E1B">
        <w:rPr>
          <w:szCs w:val="24"/>
        </w:rPr>
        <w:t xml:space="preserve">of </w:t>
      </w:r>
      <w:r w:rsidR="00073CC6">
        <w:rPr>
          <w:szCs w:val="24"/>
        </w:rPr>
        <w:t>2</w:t>
      </w:r>
      <w:r w:rsidR="00C83A80">
        <w:rPr>
          <w:szCs w:val="24"/>
        </w:rPr>
        <w:t>6</w:t>
      </w:r>
      <w:r w:rsidR="00E315FE">
        <w:rPr>
          <w:szCs w:val="24"/>
        </w:rPr>
        <w:t>.00</w:t>
      </w:r>
      <w:r w:rsidR="00CA0E1B">
        <w:rPr>
          <w:szCs w:val="24"/>
        </w:rPr>
        <w:t>%</w:t>
      </w:r>
      <w:r w:rsidR="00B53BA2">
        <w:rPr>
          <w:szCs w:val="24"/>
        </w:rPr>
        <w:t xml:space="preserve"> </w:t>
      </w:r>
      <w:r w:rsidR="00CA0E1B">
        <w:rPr>
          <w:szCs w:val="24"/>
        </w:rPr>
        <w:t>based on</w:t>
      </w:r>
      <w:r w:rsidR="00BD3095">
        <w:rPr>
          <w:szCs w:val="24"/>
        </w:rPr>
        <w:t xml:space="preserve"> the following</w:t>
      </w:r>
      <w:r w:rsidR="00B53BA2">
        <w:rPr>
          <w:szCs w:val="24"/>
        </w:rPr>
        <w:t>:</w:t>
      </w:r>
    </w:p>
    <w:p w14:paraId="51104C01" w14:textId="77777777" w:rsidR="005C2F67" w:rsidRDefault="005C2F67" w:rsidP="00DB641B">
      <w:pPr>
        <w:rPr>
          <w:szCs w:val="24"/>
        </w:rPr>
      </w:pPr>
    </w:p>
    <w:p w14:paraId="7940A3D8" w14:textId="05F67F36" w:rsidR="00C83A80" w:rsidRDefault="000130A4" w:rsidP="00C56A27">
      <w:pPr>
        <w:pStyle w:val="ListParagraph"/>
        <w:numPr>
          <w:ilvl w:val="0"/>
          <w:numId w:val="11"/>
        </w:numPr>
        <w:rPr>
          <w:szCs w:val="24"/>
        </w:rPr>
      </w:pPr>
      <w:bookmarkStart w:id="15" w:name="_Hlk175059879"/>
      <w:r>
        <w:rPr>
          <w:szCs w:val="24"/>
        </w:rPr>
        <w:t xml:space="preserve">The TRM should be </w:t>
      </w:r>
      <w:r w:rsidR="00AE5F24">
        <w:rPr>
          <w:szCs w:val="24"/>
        </w:rPr>
        <w:t xml:space="preserve">equal to or </w:t>
      </w:r>
      <w:r>
        <w:rPr>
          <w:szCs w:val="24"/>
        </w:rPr>
        <w:t xml:space="preserve">greater than the </w:t>
      </w:r>
      <w:r w:rsidR="00870667" w:rsidRPr="00376227">
        <w:rPr>
          <w:szCs w:val="24"/>
        </w:rPr>
        <w:t>2</w:t>
      </w:r>
      <w:r w:rsidR="00611E82">
        <w:rPr>
          <w:szCs w:val="24"/>
        </w:rPr>
        <w:t>5.</w:t>
      </w:r>
      <w:r w:rsidR="00C5788F">
        <w:rPr>
          <w:szCs w:val="24"/>
        </w:rPr>
        <w:t>75</w:t>
      </w:r>
      <w:r w:rsidR="00870667" w:rsidRPr="00376227">
        <w:rPr>
          <w:szCs w:val="24"/>
        </w:rPr>
        <w:t>%</w:t>
      </w:r>
      <w:r w:rsidR="00870667">
        <w:rPr>
          <w:szCs w:val="24"/>
        </w:rPr>
        <w:t xml:space="preserve"> </w:t>
      </w:r>
      <w:r w:rsidR="00C83A80" w:rsidRPr="00376227">
        <w:rPr>
          <w:szCs w:val="24"/>
        </w:rPr>
        <w:t>1:10 LOLE threshold</w:t>
      </w:r>
      <w:r>
        <w:rPr>
          <w:szCs w:val="24"/>
        </w:rPr>
        <w:t xml:space="preserve"> </w:t>
      </w:r>
      <w:r w:rsidR="00D93D4F">
        <w:rPr>
          <w:szCs w:val="24"/>
        </w:rPr>
        <w:t>to ensure an adequate level of reliability on the System</w:t>
      </w:r>
      <w:r w:rsidR="00CD2D5B">
        <w:rPr>
          <w:szCs w:val="24"/>
        </w:rPr>
        <w:t>;</w:t>
      </w:r>
    </w:p>
    <w:p w14:paraId="665FDCBE" w14:textId="75E9DF69" w:rsidR="00706C8C" w:rsidRDefault="00706C8C" w:rsidP="00C56A27">
      <w:pPr>
        <w:pStyle w:val="ListParagraph"/>
        <w:numPr>
          <w:ilvl w:val="0"/>
          <w:numId w:val="11"/>
        </w:numPr>
        <w:rPr>
          <w:szCs w:val="24"/>
        </w:rPr>
      </w:pPr>
      <w:r>
        <w:rPr>
          <w:szCs w:val="24"/>
        </w:rPr>
        <w:t>A reserve margin of 26% represents the risk-adjusted EORM that falls within the confidence intervals considered</w:t>
      </w:r>
      <w:r w:rsidR="00CD2D5B">
        <w:rPr>
          <w:szCs w:val="24"/>
        </w:rPr>
        <w:t>;</w:t>
      </w:r>
    </w:p>
    <w:p w14:paraId="371E8D4D" w14:textId="556285C6" w:rsidR="005F4C8E" w:rsidRPr="005F4C8E" w:rsidRDefault="005F4C8E" w:rsidP="005F4C8E">
      <w:pPr>
        <w:pStyle w:val="ListParagraph"/>
        <w:numPr>
          <w:ilvl w:val="0"/>
          <w:numId w:val="11"/>
        </w:numPr>
        <w:rPr>
          <w:szCs w:val="24"/>
        </w:rPr>
      </w:pPr>
      <w:r>
        <w:rPr>
          <w:szCs w:val="24"/>
        </w:rPr>
        <w:t>Compared to the 22.75% expected case Winter EORM, a 26.00% risk-adjusted Winter EORM reduces VaR at the 85</w:t>
      </w:r>
      <w:r w:rsidRPr="00B55594">
        <w:rPr>
          <w:szCs w:val="24"/>
          <w:vertAlign w:val="superscript"/>
        </w:rPr>
        <w:t>th</w:t>
      </w:r>
      <w:r>
        <w:rPr>
          <w:szCs w:val="24"/>
        </w:rPr>
        <w:t xml:space="preserve"> confidence interval by $79.2M/year, while only increasing expected cost by $49.8M/year</w:t>
      </w:r>
      <w:r w:rsidR="00CD2D5B">
        <w:rPr>
          <w:szCs w:val="24"/>
        </w:rPr>
        <w:t>;</w:t>
      </w:r>
      <w:r>
        <w:rPr>
          <w:szCs w:val="24"/>
        </w:rPr>
        <w:t xml:space="preserve"> and</w:t>
      </w:r>
    </w:p>
    <w:p w14:paraId="12AFEFD5" w14:textId="16582DD1" w:rsidR="00FF1A54" w:rsidRDefault="587CCFF7" w:rsidP="00020B2E">
      <w:pPr>
        <w:pStyle w:val="ListParagraph"/>
        <w:numPr>
          <w:ilvl w:val="0"/>
          <w:numId w:val="11"/>
        </w:numPr>
      </w:pPr>
      <w:r w:rsidRPr="3B44DD63">
        <w:t>A 26</w:t>
      </w:r>
      <w:r w:rsidR="3F2CB112" w:rsidRPr="3B44DD63">
        <w:t>.00</w:t>
      </w:r>
      <w:r w:rsidRPr="3B44DD63">
        <w:t xml:space="preserve">% Winter TRM is consistent with results from the </w:t>
      </w:r>
      <w:r w:rsidR="3C59241B">
        <w:t xml:space="preserve">2018 and </w:t>
      </w:r>
      <w:r w:rsidRPr="3B44DD63">
        <w:t>20</w:t>
      </w:r>
      <w:r w:rsidR="35DE5928" w:rsidRPr="3B44DD63">
        <w:t>21</w:t>
      </w:r>
      <w:r w:rsidRPr="3B44DD63">
        <w:t xml:space="preserve"> Reserve Margin Stud</w:t>
      </w:r>
      <w:r w:rsidR="3C59241B">
        <w:t>ies</w:t>
      </w:r>
      <w:r w:rsidR="1E2FAAE5">
        <w:rPr>
          <w:szCs w:val="24"/>
        </w:rPr>
        <w:t>.</w:t>
      </w:r>
      <w:r w:rsidR="000130A4" w:rsidRPr="3B44DD63">
        <w:rPr>
          <w:rStyle w:val="FootnoteReference"/>
        </w:rPr>
        <w:footnoteReference w:id="8"/>
      </w:r>
      <w:r w:rsidR="2B69C2AC" w:rsidRPr="3B44DD63">
        <w:t xml:space="preserve"> Maintaining this TRM provides stability to the integrated resource planning process.</w:t>
      </w:r>
    </w:p>
    <w:bookmarkEnd w:id="15"/>
    <w:p w14:paraId="0992B1BD" w14:textId="77777777" w:rsidR="009C1606" w:rsidRPr="00AE1E70" w:rsidRDefault="009C1606" w:rsidP="009C1606">
      <w:pPr>
        <w:pStyle w:val="ListParagraph"/>
        <w:rPr>
          <w:szCs w:val="24"/>
        </w:rPr>
      </w:pPr>
    </w:p>
    <w:p w14:paraId="02907083" w14:textId="4AE28E5A" w:rsidR="00FF1A54" w:rsidRDefault="00FF1A54" w:rsidP="004B49A6">
      <w:bookmarkStart w:id="16" w:name="_Hlk175060030"/>
      <w:r w:rsidRPr="11CC19F6">
        <w:t xml:space="preserve">For the long-term Summer </w:t>
      </w:r>
      <w:r w:rsidR="001A7372" w:rsidRPr="11CC19F6">
        <w:t>TRM</w:t>
      </w:r>
      <w:r w:rsidR="00BA7B8E" w:rsidRPr="11CC19F6">
        <w:t>, in addition to consideration of the VaR results, consideration must also be given to the combined summer and winter LOLE.</w:t>
      </w:r>
      <w:r w:rsidR="00A648A6">
        <w:t xml:space="preserve"> </w:t>
      </w:r>
      <w:r w:rsidR="00BA7B8E" w:rsidRPr="11CC19F6">
        <w:t>While the Summer</w:t>
      </w:r>
      <w:r w:rsidR="0063739C" w:rsidRPr="11CC19F6">
        <w:t>-oriented</w:t>
      </w:r>
      <w:r w:rsidR="00BA7B8E" w:rsidRPr="11CC19F6">
        <w:t xml:space="preserve"> U-Curve indicated an EORM of </w:t>
      </w:r>
      <w:r w:rsidR="00EF24FE" w:rsidRPr="11CC19F6">
        <w:t>18</w:t>
      </w:r>
      <w:r w:rsidR="009810C9">
        <w:rPr>
          <w:szCs w:val="24"/>
        </w:rPr>
        <w:t>.</w:t>
      </w:r>
      <w:r w:rsidR="000C1DE8" w:rsidRPr="11CC19F6">
        <w:t>2</w:t>
      </w:r>
      <w:r w:rsidR="006E7A92" w:rsidRPr="11CC19F6">
        <w:t>5</w:t>
      </w:r>
      <w:r w:rsidR="00BA7B8E" w:rsidRPr="11CC19F6">
        <w:t xml:space="preserve">%, the VaR85 calculation resulted in a reserve margin of </w:t>
      </w:r>
      <w:r w:rsidR="009810C9" w:rsidRPr="11CC19F6">
        <w:t>2</w:t>
      </w:r>
      <w:r w:rsidR="005E471B" w:rsidRPr="11CC19F6">
        <w:t>1</w:t>
      </w:r>
      <w:r w:rsidR="009810C9">
        <w:rPr>
          <w:szCs w:val="24"/>
        </w:rPr>
        <w:t>.</w:t>
      </w:r>
      <w:r w:rsidR="005E471B" w:rsidRPr="11CC19F6">
        <w:t>25</w:t>
      </w:r>
      <w:r w:rsidR="00BA7B8E" w:rsidRPr="11CC19F6">
        <w:t>%.</w:t>
      </w:r>
      <w:r w:rsidR="00A648A6">
        <w:t xml:space="preserve"> </w:t>
      </w:r>
      <w:r w:rsidR="00BA7B8E" w:rsidRPr="11CC19F6">
        <w:t xml:space="preserve">Therefore, a Summer </w:t>
      </w:r>
      <w:r w:rsidR="00AA6FF1" w:rsidRPr="11CC19F6">
        <w:t>TRM</w:t>
      </w:r>
      <w:r w:rsidR="00BA7B8E" w:rsidRPr="11CC19F6">
        <w:t xml:space="preserve"> of up to </w:t>
      </w:r>
      <w:r w:rsidR="005E471B" w:rsidRPr="11CC19F6">
        <w:t>21.25</w:t>
      </w:r>
      <w:r w:rsidR="00BA7B8E">
        <w:rPr>
          <w:szCs w:val="24"/>
        </w:rPr>
        <w:t xml:space="preserve">% </w:t>
      </w:r>
      <w:r w:rsidR="00F003CE" w:rsidRPr="11CC19F6">
        <w:t>could be justified</w:t>
      </w:r>
      <w:r w:rsidR="62A5C522" w:rsidRPr="11CC19F6">
        <w:t>.</w:t>
      </w:r>
      <w:r w:rsidR="00A648A6">
        <w:rPr>
          <w:szCs w:val="24"/>
        </w:rPr>
        <w:t xml:space="preserve"> </w:t>
      </w:r>
      <w:r w:rsidR="00262B68" w:rsidRPr="11CC19F6">
        <w:t>LOLE must also be considered.</w:t>
      </w:r>
      <w:r w:rsidR="00A648A6">
        <w:t xml:space="preserve"> </w:t>
      </w:r>
      <w:r w:rsidR="00C401EA" w:rsidRPr="11CC19F6">
        <w:t>If</w:t>
      </w:r>
      <w:r w:rsidR="00B566D7" w:rsidRPr="11CC19F6">
        <w:t xml:space="preserve"> </w:t>
      </w:r>
      <w:r w:rsidR="25E708E6" w:rsidRPr="11CC19F6">
        <w:t>all</w:t>
      </w:r>
      <w:r w:rsidR="00B566D7" w:rsidRPr="11CC19F6">
        <w:t xml:space="preserve"> resources added to</w:t>
      </w:r>
      <w:r w:rsidR="00262B68" w:rsidRPr="11CC19F6">
        <w:t xml:space="preserve"> the System </w:t>
      </w:r>
      <w:r w:rsidR="476F42A3" w:rsidRPr="11CC19F6">
        <w:t>to meet the winter reserve margin</w:t>
      </w:r>
      <w:r w:rsidR="00262B68" w:rsidRPr="11CC19F6">
        <w:t xml:space="preserve"> are</w:t>
      </w:r>
      <w:r w:rsidR="1A14A22B" w:rsidRPr="11CC19F6">
        <w:t xml:space="preserve"> also</w:t>
      </w:r>
      <w:r w:rsidR="00262B68" w:rsidRPr="11CC19F6">
        <w:t xml:space="preserve"> available in the summer</w:t>
      </w:r>
      <w:r w:rsidR="3013C315" w:rsidRPr="11CC19F6">
        <w:t xml:space="preserve"> season</w:t>
      </w:r>
      <w:r w:rsidR="00262B68" w:rsidRPr="11CC19F6">
        <w:t xml:space="preserve">, </w:t>
      </w:r>
      <w:r w:rsidR="00B566D7" w:rsidRPr="11CC19F6">
        <w:t>the</w:t>
      </w:r>
      <w:r w:rsidR="08AF2BD0" w:rsidRPr="11CC19F6">
        <w:t xml:space="preserve"> annual</w:t>
      </w:r>
      <w:r w:rsidR="00B566D7" w:rsidRPr="11CC19F6">
        <w:t xml:space="preserve"> </w:t>
      </w:r>
      <w:r w:rsidR="00262B68" w:rsidRPr="11CC19F6">
        <w:t xml:space="preserve">LOLE will be </w:t>
      </w:r>
      <w:r w:rsidR="003A2839" w:rsidRPr="11CC19F6">
        <w:t>as shown</w:t>
      </w:r>
      <w:r w:rsidR="00262B68" w:rsidRPr="11CC19F6">
        <w:t xml:space="preserve"> in</w:t>
      </w:r>
      <w:r w:rsidR="008D1228">
        <w:rPr>
          <w:szCs w:val="24"/>
        </w:rPr>
        <w:t xml:space="preserve"> </w:t>
      </w:r>
      <w:r w:rsidR="008D1228">
        <w:rPr>
          <w:szCs w:val="24"/>
        </w:rPr>
        <w:fldChar w:fldCharType="begin"/>
      </w:r>
      <w:r w:rsidR="008D1228">
        <w:rPr>
          <w:szCs w:val="24"/>
        </w:rPr>
        <w:instrText xml:space="preserve"> REF _Ref513785297 \h </w:instrText>
      </w:r>
      <w:r w:rsidR="008D1228">
        <w:rPr>
          <w:szCs w:val="24"/>
        </w:rPr>
      </w:r>
      <w:r w:rsidR="008D1228">
        <w:rPr>
          <w:szCs w:val="24"/>
        </w:rPr>
        <w:fldChar w:fldCharType="separate"/>
      </w:r>
      <w:r w:rsidR="0020016A">
        <w:t xml:space="preserve">Figure </w:t>
      </w:r>
      <w:r w:rsidR="0020016A">
        <w:rPr>
          <w:noProof/>
        </w:rPr>
        <w:t>5</w:t>
      </w:r>
      <w:r w:rsidR="008D1228">
        <w:rPr>
          <w:szCs w:val="24"/>
        </w:rPr>
        <w:fldChar w:fldCharType="end"/>
      </w:r>
      <w:r w:rsidR="008D1228">
        <w:rPr>
          <w:szCs w:val="24"/>
        </w:rPr>
        <w:t xml:space="preserve">. </w:t>
      </w:r>
      <w:r w:rsidR="00262B68" w:rsidRPr="11CC19F6">
        <w:t xml:space="preserve">However, </w:t>
      </w:r>
      <w:r w:rsidR="00B566D7" w:rsidRPr="11CC19F6">
        <w:t xml:space="preserve">if </w:t>
      </w:r>
      <w:r w:rsidR="003A2839" w:rsidRPr="11CC19F6">
        <w:t xml:space="preserve">some of </w:t>
      </w:r>
      <w:r w:rsidR="00B566D7" w:rsidRPr="11CC19F6">
        <w:t>the</w:t>
      </w:r>
      <w:r w:rsidR="00262B68">
        <w:rPr>
          <w:szCs w:val="24"/>
        </w:rPr>
        <w:t xml:space="preserve"> </w:t>
      </w:r>
      <w:r w:rsidR="001A7372" w:rsidRPr="11CC19F6">
        <w:t>S</w:t>
      </w:r>
      <w:r w:rsidR="00262B68" w:rsidRPr="11CC19F6">
        <w:t>ystem</w:t>
      </w:r>
      <w:r w:rsidR="00B566D7" w:rsidRPr="11CC19F6">
        <w:t>’s</w:t>
      </w:r>
      <w:r w:rsidR="001A7372">
        <w:rPr>
          <w:szCs w:val="24"/>
        </w:rPr>
        <w:t xml:space="preserve"> </w:t>
      </w:r>
      <w:r w:rsidR="00262B68" w:rsidRPr="11CC19F6">
        <w:t xml:space="preserve">winter requirements </w:t>
      </w:r>
      <w:r w:rsidR="00B566D7" w:rsidRPr="11CC19F6">
        <w:t xml:space="preserve">are met </w:t>
      </w:r>
      <w:r w:rsidR="00262B68" w:rsidRPr="11CC19F6">
        <w:t>with resources that are not available in summer, then a disconnect between the summer LOLE and the winter LOLE occurs.</w:t>
      </w:r>
      <w:r w:rsidR="00A648A6">
        <w:t xml:space="preserve"> </w:t>
      </w:r>
      <w:r w:rsidR="00262B68" w:rsidRPr="11CC19F6">
        <w:t>Therefore, w</w:t>
      </w:r>
      <w:r w:rsidR="00BA7B8E" w:rsidRPr="11CC19F6">
        <w:t xml:space="preserve">hen the combined LOLE for both summer and winter are </w:t>
      </w:r>
      <w:r w:rsidR="00C83A80" w:rsidRPr="11CC19F6">
        <w:t>considered</w:t>
      </w:r>
      <w:r w:rsidR="00BA7B8E" w:rsidRPr="11CC19F6">
        <w:t xml:space="preserve">, there is a floor for the Summer </w:t>
      </w:r>
      <w:r w:rsidR="001A7372" w:rsidRPr="11CC19F6">
        <w:t>TRM</w:t>
      </w:r>
      <w:r w:rsidR="00BA7B8E">
        <w:rPr>
          <w:szCs w:val="24"/>
        </w:rPr>
        <w:t xml:space="preserve"> </w:t>
      </w:r>
      <w:r w:rsidR="00AA6FF1" w:rsidRPr="11CC19F6">
        <w:t xml:space="preserve">that must be maintained </w:t>
      </w:r>
      <w:r w:rsidR="00BA7B8E" w:rsidRPr="11CC19F6">
        <w:t>to ensure that the total comb</w:t>
      </w:r>
      <w:r w:rsidR="00262B68" w:rsidRPr="11CC19F6">
        <w:t>ined summer and winter LOLE do</w:t>
      </w:r>
      <w:r w:rsidR="00AA6FF1" w:rsidRPr="11CC19F6">
        <w:t>es</w:t>
      </w:r>
      <w:r w:rsidR="00BA7B8E" w:rsidRPr="11CC19F6">
        <w:t xml:space="preserve"> not fall below the 1:10 LOLE threshold</w:t>
      </w:r>
      <w:r w:rsidR="006529ED">
        <w:rPr>
          <w:szCs w:val="24"/>
        </w:rPr>
        <w:t xml:space="preserve"> (</w:t>
      </w:r>
      <w:r w:rsidR="008E2FDE">
        <w:rPr>
          <w:szCs w:val="24"/>
        </w:rPr>
        <w:t>“</w:t>
      </w:r>
      <w:r w:rsidR="006529ED" w:rsidRPr="11CC19F6">
        <w:t>Summer TRM Floor</w:t>
      </w:r>
      <w:r w:rsidR="008E2FDE">
        <w:rPr>
          <w:szCs w:val="24"/>
        </w:rPr>
        <w:t>”</w:t>
      </w:r>
      <w:r w:rsidR="006529ED">
        <w:rPr>
          <w:szCs w:val="24"/>
        </w:rPr>
        <w:t>)</w:t>
      </w:r>
      <w:r w:rsidR="00BA7B8E">
        <w:rPr>
          <w:szCs w:val="24"/>
        </w:rPr>
        <w:t>.</w:t>
      </w:r>
      <w:r w:rsidR="00A648A6">
        <w:rPr>
          <w:szCs w:val="24"/>
        </w:rPr>
        <w:t xml:space="preserve"> </w:t>
      </w:r>
      <w:r w:rsidR="008D1228">
        <w:rPr>
          <w:szCs w:val="24"/>
        </w:rPr>
        <w:fldChar w:fldCharType="begin"/>
      </w:r>
      <w:r w:rsidR="008D1228">
        <w:rPr>
          <w:szCs w:val="24"/>
        </w:rPr>
        <w:instrText xml:space="preserve"> REF _Ref513785344 \h </w:instrText>
      </w:r>
      <w:r w:rsidR="008D1228">
        <w:rPr>
          <w:szCs w:val="24"/>
        </w:rPr>
      </w:r>
      <w:r w:rsidR="008D1228">
        <w:rPr>
          <w:szCs w:val="24"/>
        </w:rPr>
        <w:fldChar w:fldCharType="separate"/>
      </w:r>
      <w:r w:rsidR="0020016A">
        <w:t xml:space="preserve">Figure </w:t>
      </w:r>
      <w:r w:rsidR="0020016A">
        <w:rPr>
          <w:noProof/>
        </w:rPr>
        <w:t>6</w:t>
      </w:r>
      <w:r w:rsidR="008D1228">
        <w:rPr>
          <w:szCs w:val="24"/>
        </w:rPr>
        <w:fldChar w:fldCharType="end"/>
      </w:r>
      <w:r w:rsidR="008D1228">
        <w:rPr>
          <w:szCs w:val="24"/>
        </w:rPr>
        <w:t xml:space="preserve"> </w:t>
      </w:r>
      <w:r w:rsidR="00BA7B8E" w:rsidRPr="11CC19F6">
        <w:t xml:space="preserve">below shows the 1:10 LOLE threshold Summer </w:t>
      </w:r>
      <w:r w:rsidR="001A7372" w:rsidRPr="11CC19F6">
        <w:t>TRM</w:t>
      </w:r>
      <w:r w:rsidR="00BA7B8E" w:rsidRPr="11CC19F6">
        <w:t xml:space="preserve"> Floor for </w:t>
      </w:r>
      <w:r w:rsidR="002230C5">
        <w:t xml:space="preserve">a range of </w:t>
      </w:r>
      <w:r w:rsidR="00BA7B8E" w:rsidRPr="11CC19F6">
        <w:t xml:space="preserve">Winter </w:t>
      </w:r>
      <w:r w:rsidR="001A7372" w:rsidRPr="11CC19F6">
        <w:t>TRM values</w:t>
      </w:r>
      <w:r w:rsidR="00BA7B8E">
        <w:rPr>
          <w:szCs w:val="24"/>
        </w:rPr>
        <w:t>.</w:t>
      </w:r>
    </w:p>
    <w:p w14:paraId="7A38F28E" w14:textId="77777777" w:rsidR="00BA7B8E" w:rsidRDefault="00BA7B8E" w:rsidP="004B49A6">
      <w:pPr>
        <w:rPr>
          <w:szCs w:val="24"/>
        </w:rPr>
      </w:pPr>
    </w:p>
    <w:p w14:paraId="1313B339" w14:textId="0C4A7712" w:rsidR="00463E00" w:rsidRPr="00773F74" w:rsidRDefault="00463E00" w:rsidP="00773F74">
      <w:pPr>
        <w:keepNext/>
        <w:rPr>
          <w:b/>
        </w:rPr>
      </w:pPr>
    </w:p>
    <w:p w14:paraId="3343105E" w14:textId="37B0FA4A" w:rsidR="49E33E14" w:rsidRDefault="49E33E14" w:rsidP="11CC19F6">
      <w:r>
        <w:rPr>
          <w:noProof/>
        </w:rPr>
        <w:drawing>
          <wp:inline distT="0" distB="0" distL="0" distR="0" wp14:anchorId="166929A6" wp14:editId="48663675">
            <wp:extent cx="5943600" cy="3228975"/>
            <wp:effectExtent l="0" t="0" r="0" b="0"/>
            <wp:docPr id="906427162" name="Picture 906427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3228975"/>
                    </a:xfrm>
                    <a:prstGeom prst="rect">
                      <a:avLst/>
                    </a:prstGeom>
                  </pic:spPr>
                </pic:pic>
              </a:graphicData>
            </a:graphic>
          </wp:inline>
        </w:drawing>
      </w:r>
    </w:p>
    <w:p w14:paraId="75CF58BC" w14:textId="65A8154D" w:rsidR="00BA7B8E" w:rsidRDefault="00F262E6" w:rsidP="00F262E6">
      <w:pPr>
        <w:pStyle w:val="Caption"/>
        <w:rPr>
          <w:szCs w:val="24"/>
        </w:rPr>
      </w:pPr>
      <w:bookmarkStart w:id="17" w:name="_Toc187234660"/>
      <w:r>
        <w:t xml:space="preserve">Figure </w:t>
      </w:r>
      <w:r>
        <w:fldChar w:fldCharType="begin"/>
      </w:r>
      <w:r>
        <w:instrText xml:space="preserve"> SEQ Figure \* ARABIC \s 1 </w:instrText>
      </w:r>
      <w:r>
        <w:fldChar w:fldCharType="separate"/>
      </w:r>
      <w:r>
        <w:rPr>
          <w:noProof/>
        </w:rPr>
        <w:t>6</w:t>
      </w:r>
      <w:r>
        <w:fldChar w:fldCharType="end"/>
      </w:r>
      <w:r w:rsidR="005D6415">
        <w:t>.</w:t>
      </w:r>
      <w:r>
        <w:t xml:space="preserve"> Summer Target Reserve Margin Floor</w:t>
      </w:r>
      <w:bookmarkEnd w:id="17"/>
    </w:p>
    <w:p w14:paraId="01AF42D3" w14:textId="77777777" w:rsidR="00F262E6" w:rsidRDefault="00F262E6" w:rsidP="004B49A6">
      <w:pPr>
        <w:rPr>
          <w:szCs w:val="24"/>
        </w:rPr>
      </w:pPr>
    </w:p>
    <w:p w14:paraId="67F72D8E" w14:textId="6C0FDAE5" w:rsidR="00E315FE" w:rsidRDefault="006E13E8" w:rsidP="004B49A6">
      <w:r>
        <w:t>N</w:t>
      </w:r>
      <w:r w:rsidR="00C72D92" w:rsidRPr="440F262C">
        <w:t>ote that</w:t>
      </w:r>
      <w:r>
        <w:t>,</w:t>
      </w:r>
      <w:r w:rsidR="00C72D92" w:rsidRPr="440F262C">
        <w:t xml:space="preserve"> below a Winter TRM of 25.</w:t>
      </w:r>
      <w:r w:rsidR="006E7A92" w:rsidRPr="440F262C">
        <w:t>7</w:t>
      </w:r>
      <w:r w:rsidR="00C72D92" w:rsidRPr="440F262C">
        <w:t>5%, the winter months alone</w:t>
      </w:r>
      <w:r w:rsidR="00742CAF" w:rsidRPr="440F262C">
        <w:t xml:space="preserve"> are below</w:t>
      </w:r>
      <w:r w:rsidR="00C72D92" w:rsidRPr="440F262C">
        <w:t xml:space="preserve"> 1:10 LOLE</w:t>
      </w:r>
      <w:r>
        <w:t>,</w:t>
      </w:r>
      <w:r w:rsidR="00C72D92" w:rsidRPr="440F262C">
        <w:t xml:space="preserve"> so </w:t>
      </w:r>
      <w:r w:rsidR="006D3177">
        <w:t xml:space="preserve">there is not </w:t>
      </w:r>
      <w:r w:rsidR="00C72D92" w:rsidRPr="440F262C">
        <w:t xml:space="preserve">a summer minimum TRM </w:t>
      </w:r>
      <w:r w:rsidR="003E767A">
        <w:t xml:space="preserve">in that range </w:t>
      </w:r>
      <w:r w:rsidR="00D002EF">
        <w:t>that</w:t>
      </w:r>
      <w:r w:rsidR="003E767A">
        <w:t xml:space="preserve"> would avoid </w:t>
      </w:r>
      <w:r w:rsidR="3DEF7E78">
        <w:t>violating</w:t>
      </w:r>
      <w:r w:rsidR="00C72D92">
        <w:rPr>
          <w:szCs w:val="24"/>
        </w:rPr>
        <w:t xml:space="preserve"> </w:t>
      </w:r>
      <w:r w:rsidR="00C72D92" w:rsidRPr="440F262C">
        <w:t xml:space="preserve">the annual 1:10 or better </w:t>
      </w:r>
      <w:r w:rsidR="00A0634F" w:rsidRPr="440F262C">
        <w:t xml:space="preserve">LOLE </w:t>
      </w:r>
      <w:r w:rsidR="2DB3872D" w:rsidRPr="72252BFC">
        <w:t>threshold</w:t>
      </w:r>
      <w:r w:rsidR="00C72D92" w:rsidRPr="440F262C">
        <w:t xml:space="preserve">. </w:t>
      </w:r>
      <w:r w:rsidR="00463E00" w:rsidRPr="440F262C">
        <w:t xml:space="preserve">Based on </w:t>
      </w:r>
      <w:r w:rsidR="007D4A87">
        <w:rPr>
          <w:szCs w:val="24"/>
        </w:rPr>
        <w:fldChar w:fldCharType="begin"/>
      </w:r>
      <w:r w:rsidR="007D4A87">
        <w:rPr>
          <w:szCs w:val="24"/>
        </w:rPr>
        <w:instrText xml:space="preserve"> REF _Ref513785344 \h </w:instrText>
      </w:r>
      <w:r w:rsidR="007D4A87">
        <w:rPr>
          <w:szCs w:val="24"/>
        </w:rPr>
      </w:r>
      <w:r w:rsidR="007D4A87">
        <w:rPr>
          <w:szCs w:val="24"/>
        </w:rPr>
        <w:fldChar w:fldCharType="separate"/>
      </w:r>
      <w:r w:rsidR="00BF6F8D">
        <w:t xml:space="preserve">Figure </w:t>
      </w:r>
      <w:r w:rsidR="00BF6F8D">
        <w:rPr>
          <w:noProof/>
        </w:rPr>
        <w:t>6</w:t>
      </w:r>
      <w:r w:rsidR="007D4A87">
        <w:rPr>
          <w:szCs w:val="24"/>
        </w:rPr>
        <w:fldChar w:fldCharType="end"/>
      </w:r>
      <w:r w:rsidR="00463E00" w:rsidRPr="440F262C">
        <w:t xml:space="preserve">, the Summer </w:t>
      </w:r>
      <w:r w:rsidR="00034CEB" w:rsidRPr="440F262C">
        <w:t>TRM</w:t>
      </w:r>
      <w:r w:rsidR="00463E00">
        <w:rPr>
          <w:szCs w:val="24"/>
        </w:rPr>
        <w:t xml:space="preserve"> </w:t>
      </w:r>
      <w:r w:rsidR="006529ED" w:rsidRPr="440F262C">
        <w:t>F</w:t>
      </w:r>
      <w:r w:rsidR="00463E00" w:rsidRPr="440F262C">
        <w:t>loor</w:t>
      </w:r>
      <w:r w:rsidR="006529ED" w:rsidRPr="006529ED">
        <w:rPr>
          <w:szCs w:val="24"/>
        </w:rPr>
        <w:t xml:space="preserve"> </w:t>
      </w:r>
      <w:r w:rsidR="006529ED" w:rsidRPr="440F262C">
        <w:t>for the recommended Winter TRM of 26</w:t>
      </w:r>
      <w:r w:rsidR="00D72B04" w:rsidRPr="440F262C">
        <w:t>.00</w:t>
      </w:r>
      <w:r w:rsidR="006529ED">
        <w:rPr>
          <w:szCs w:val="24"/>
        </w:rPr>
        <w:t>%</w:t>
      </w:r>
      <w:r w:rsidR="00463E00">
        <w:rPr>
          <w:szCs w:val="24"/>
        </w:rPr>
        <w:t xml:space="preserve"> </w:t>
      </w:r>
      <w:r w:rsidR="00034CEB" w:rsidRPr="440F262C">
        <w:t>must be at or above</w:t>
      </w:r>
      <w:r w:rsidR="00463E00">
        <w:rPr>
          <w:szCs w:val="24"/>
        </w:rPr>
        <w:t xml:space="preserve"> </w:t>
      </w:r>
      <w:r w:rsidR="00C72D92" w:rsidRPr="440F262C">
        <w:t>19</w:t>
      </w:r>
      <w:r w:rsidR="00293ACE">
        <w:rPr>
          <w:szCs w:val="24"/>
        </w:rPr>
        <w:t>.</w:t>
      </w:r>
      <w:r w:rsidR="00A0634F" w:rsidRPr="440F262C">
        <w:t>5</w:t>
      </w:r>
      <w:r w:rsidR="00742CAF" w:rsidRPr="440F262C">
        <w:t>5</w:t>
      </w:r>
      <w:r w:rsidR="00D72B04">
        <w:rPr>
          <w:szCs w:val="24"/>
        </w:rPr>
        <w:t>%</w:t>
      </w:r>
      <w:r w:rsidR="00E639D8" w:rsidRPr="440F262C">
        <w:t xml:space="preserve"> to ensure the combined LOLE does not fall below the 1:10 LOLE</w:t>
      </w:r>
      <w:r w:rsidR="00463E00">
        <w:rPr>
          <w:szCs w:val="24"/>
        </w:rPr>
        <w:t xml:space="preserve">. </w:t>
      </w:r>
    </w:p>
    <w:p w14:paraId="3B634EDA" w14:textId="5F072694" w:rsidR="00E315FE" w:rsidRDefault="00742CAF" w:rsidP="004B49A6">
      <w:pPr>
        <w:rPr>
          <w:szCs w:val="24"/>
        </w:rPr>
      </w:pPr>
      <w:r>
        <w:rPr>
          <w:szCs w:val="24"/>
        </w:rPr>
        <w:t>Therefore, t</w:t>
      </w:r>
      <w:r w:rsidR="00E315FE">
        <w:rPr>
          <w:szCs w:val="24"/>
        </w:rPr>
        <w:t>he 2024 Reserve Margin Study recommends a long-term Summer TRM of 20.00% based on the following:</w:t>
      </w:r>
    </w:p>
    <w:p w14:paraId="5CB3595F" w14:textId="77777777" w:rsidR="00E315FE" w:rsidRDefault="00E315FE" w:rsidP="004B49A6">
      <w:pPr>
        <w:rPr>
          <w:szCs w:val="24"/>
        </w:rPr>
      </w:pPr>
    </w:p>
    <w:p w14:paraId="7EE8FF96" w14:textId="0F2E9F70" w:rsidR="00E315FE" w:rsidRDefault="003D0411" w:rsidP="00E315FE">
      <w:pPr>
        <w:pStyle w:val="ListParagraph"/>
        <w:numPr>
          <w:ilvl w:val="0"/>
          <w:numId w:val="34"/>
        </w:numPr>
        <w:rPr>
          <w:szCs w:val="24"/>
        </w:rPr>
      </w:pPr>
      <w:r>
        <w:rPr>
          <w:szCs w:val="24"/>
        </w:rPr>
        <w:t xml:space="preserve">At the recommended Winter TRM of </w:t>
      </w:r>
      <w:r w:rsidR="00120E4C">
        <w:rPr>
          <w:szCs w:val="24"/>
        </w:rPr>
        <w:t>26.00%, t</w:t>
      </w:r>
      <w:r w:rsidR="00E315FE">
        <w:rPr>
          <w:szCs w:val="24"/>
        </w:rPr>
        <w:t xml:space="preserve">he </w:t>
      </w:r>
      <w:r w:rsidR="00742CAF">
        <w:rPr>
          <w:szCs w:val="24"/>
        </w:rPr>
        <w:t xml:space="preserve">Summer </w:t>
      </w:r>
      <w:r w:rsidR="00E315FE">
        <w:rPr>
          <w:szCs w:val="24"/>
        </w:rPr>
        <w:t>TRM should be</w:t>
      </w:r>
      <w:r w:rsidR="00742CAF">
        <w:rPr>
          <w:szCs w:val="24"/>
        </w:rPr>
        <w:t xml:space="preserve"> equal to or</w:t>
      </w:r>
      <w:r w:rsidR="00E315FE">
        <w:rPr>
          <w:szCs w:val="24"/>
        </w:rPr>
        <w:t xml:space="preserve"> greater than the 19.</w:t>
      </w:r>
      <w:r w:rsidR="00742CAF">
        <w:rPr>
          <w:szCs w:val="24"/>
        </w:rPr>
        <w:t>5</w:t>
      </w:r>
      <w:r w:rsidR="00E315FE">
        <w:rPr>
          <w:szCs w:val="24"/>
        </w:rPr>
        <w:t xml:space="preserve">5% 1:10 LOLE threshold to ensure an </w:t>
      </w:r>
      <w:r w:rsidR="00E315FE" w:rsidRPr="00E315FE">
        <w:rPr>
          <w:szCs w:val="24"/>
        </w:rPr>
        <w:t>adequate level of</w:t>
      </w:r>
      <w:r w:rsidR="00491837">
        <w:rPr>
          <w:szCs w:val="24"/>
        </w:rPr>
        <w:t xml:space="preserve"> annual</w:t>
      </w:r>
      <w:r w:rsidR="00E315FE" w:rsidRPr="00E315FE">
        <w:rPr>
          <w:szCs w:val="24"/>
        </w:rPr>
        <w:t xml:space="preserve"> reliability on the System</w:t>
      </w:r>
      <w:r w:rsidR="001C431F">
        <w:rPr>
          <w:szCs w:val="24"/>
        </w:rPr>
        <w:t>;</w:t>
      </w:r>
    </w:p>
    <w:p w14:paraId="1C0BC2C9" w14:textId="0F1B8A77" w:rsidR="00A40455" w:rsidRDefault="5AE2D307" w:rsidP="00A40455">
      <w:pPr>
        <w:pStyle w:val="ListParagraph"/>
        <w:numPr>
          <w:ilvl w:val="0"/>
          <w:numId w:val="34"/>
        </w:numPr>
      </w:pPr>
      <w:r>
        <w:t xml:space="preserve">A summer reserve margin of 20.00% </w:t>
      </w:r>
      <w:r w:rsidR="238D82D1">
        <w:t xml:space="preserve">is economically justified, </w:t>
      </w:r>
      <w:r>
        <w:t>fall</w:t>
      </w:r>
      <w:r w:rsidR="45C48A41">
        <w:t>ing</w:t>
      </w:r>
      <w:r>
        <w:t xml:space="preserve"> within the</w:t>
      </w:r>
      <w:r w:rsidR="767F5085">
        <w:t xml:space="preserve"> EORM and VaR85</w:t>
      </w:r>
      <w:r>
        <w:t xml:space="preserve"> confidence interval.</w:t>
      </w:r>
      <w:r w:rsidR="466DF0AA">
        <w:t xml:space="preserve"> Compared to the current 16.25% summer TRM, increasing the Summer TRM to 20.00% will provide an economic benefit to customers by reducing expected System costs by $5.3M/year while supporting an annual 1:10 LOLE level of reliability</w:t>
      </w:r>
      <w:r w:rsidR="001C431F">
        <w:t>; and</w:t>
      </w:r>
    </w:p>
    <w:p w14:paraId="0099823F" w14:textId="170453B3" w:rsidR="4F220E9F" w:rsidRDefault="4F220E9F" w:rsidP="00A40455">
      <w:pPr>
        <w:pStyle w:val="ListParagraph"/>
        <w:numPr>
          <w:ilvl w:val="0"/>
          <w:numId w:val="34"/>
        </w:numPr>
      </w:pPr>
      <w:r>
        <w:t xml:space="preserve">The </w:t>
      </w:r>
      <w:r w:rsidR="72DA7902">
        <w:t xml:space="preserve">equivalent </w:t>
      </w:r>
      <w:r>
        <w:t>summer reserve margin</w:t>
      </w:r>
      <w:r w:rsidR="25577056">
        <w:t xml:space="preserve"> that corresponds to the 26% Winter TRM</w:t>
      </w:r>
      <w:r>
        <w:t xml:space="preserve"> is 24.76%.</w:t>
      </w:r>
      <w:r w:rsidR="2524C04D">
        <w:t xml:space="preserve"> Therefore, r</w:t>
      </w:r>
      <w:r>
        <w:t>aising the Summer TRM to 20</w:t>
      </w:r>
      <w:r w:rsidR="7E543193">
        <w:t>.00</w:t>
      </w:r>
      <w:r>
        <w:t xml:space="preserve">% is not expected to drive additional System costs because resources procured to meet the more dominant Winter TRM are </w:t>
      </w:r>
      <w:r w:rsidR="3B1DDED1">
        <w:t xml:space="preserve">generally </w:t>
      </w:r>
      <w:r>
        <w:t>expected to be available during summer months as well.</w:t>
      </w:r>
    </w:p>
    <w:bookmarkEnd w:id="16"/>
    <w:p w14:paraId="52808750" w14:textId="41DB0E39" w:rsidR="00CA0E1B" w:rsidRPr="00F4502C" w:rsidRDefault="00CA0E1B" w:rsidP="004B49A6"/>
    <w:p w14:paraId="27D3F250" w14:textId="2400082F" w:rsidR="0025578D" w:rsidRDefault="00D71BAC" w:rsidP="00DB641B">
      <w:pPr>
        <w:rPr>
          <w:szCs w:val="24"/>
        </w:rPr>
      </w:pPr>
      <w:r w:rsidRPr="00217F0E">
        <w:rPr>
          <w:szCs w:val="24"/>
        </w:rPr>
        <w:t>For short</w:t>
      </w:r>
      <w:r w:rsidR="001739A0">
        <w:rPr>
          <w:szCs w:val="24"/>
        </w:rPr>
        <w:t>-</w:t>
      </w:r>
      <w:r w:rsidRPr="00217F0E">
        <w:rPr>
          <w:szCs w:val="24"/>
        </w:rPr>
        <w:t xml:space="preserve">term planning (inside </w:t>
      </w:r>
      <w:r w:rsidR="0025578D">
        <w:rPr>
          <w:szCs w:val="24"/>
        </w:rPr>
        <w:t>three</w:t>
      </w:r>
      <w:r w:rsidRPr="00217F0E">
        <w:rPr>
          <w:szCs w:val="24"/>
        </w:rPr>
        <w:t xml:space="preserve"> years), a sensitivity has been performed which recognizes that there is typically </w:t>
      </w:r>
      <w:r w:rsidR="001739A0">
        <w:rPr>
          <w:szCs w:val="24"/>
        </w:rPr>
        <w:t>less</w:t>
      </w:r>
      <w:r w:rsidR="001739A0" w:rsidRPr="00217F0E">
        <w:rPr>
          <w:szCs w:val="24"/>
        </w:rPr>
        <w:t xml:space="preserve"> </w:t>
      </w:r>
      <w:r w:rsidRPr="00372AC4">
        <w:rPr>
          <w:szCs w:val="24"/>
        </w:rPr>
        <w:t>economic uncertainty</w:t>
      </w:r>
      <w:r w:rsidR="00502814">
        <w:rPr>
          <w:szCs w:val="24"/>
        </w:rPr>
        <w:t xml:space="preserve"> in the nearer term (1-3 years out) than in the longer term (4 years out or greater)</w:t>
      </w:r>
      <w:r w:rsidRPr="00372AC4">
        <w:rPr>
          <w:szCs w:val="24"/>
        </w:rPr>
        <w:t xml:space="preserve">. </w:t>
      </w:r>
      <w:r w:rsidR="00980470" w:rsidRPr="00372AC4">
        <w:rPr>
          <w:szCs w:val="24"/>
        </w:rPr>
        <w:t xml:space="preserve">This sensitivity shows </w:t>
      </w:r>
      <w:r w:rsidR="000756FD">
        <w:rPr>
          <w:szCs w:val="24"/>
        </w:rPr>
        <w:t xml:space="preserve">a difference in long-term reserve margin and short-term reserve </w:t>
      </w:r>
      <w:r w:rsidR="000756FD" w:rsidRPr="006B4883">
        <w:rPr>
          <w:szCs w:val="24"/>
        </w:rPr>
        <w:t xml:space="preserve">margin of 0.5% </w:t>
      </w:r>
      <w:r w:rsidR="00FB0C4E" w:rsidRPr="006B4883">
        <w:rPr>
          <w:szCs w:val="24"/>
        </w:rPr>
        <w:t>as being</w:t>
      </w:r>
      <w:r w:rsidR="000756FD" w:rsidRPr="006B4883">
        <w:rPr>
          <w:szCs w:val="24"/>
        </w:rPr>
        <w:t xml:space="preserve"> appropriate</w:t>
      </w:r>
      <w:r w:rsidR="00980470" w:rsidRPr="00372AC4">
        <w:rPr>
          <w:szCs w:val="24"/>
        </w:rPr>
        <w:t xml:space="preserve">. </w:t>
      </w:r>
    </w:p>
    <w:p w14:paraId="0903B045" w14:textId="77777777" w:rsidR="0025578D" w:rsidRDefault="0025578D" w:rsidP="00DB641B">
      <w:pPr>
        <w:rPr>
          <w:szCs w:val="24"/>
        </w:rPr>
      </w:pPr>
    </w:p>
    <w:p w14:paraId="6D8E0C4C" w14:textId="04E968DC" w:rsidR="00D71BAC" w:rsidRDefault="00D71BAC" w:rsidP="00DB641B">
      <w:pPr>
        <w:rPr>
          <w:szCs w:val="24"/>
        </w:rPr>
      </w:pPr>
      <w:r w:rsidRPr="00372AC4">
        <w:rPr>
          <w:szCs w:val="24"/>
        </w:rPr>
        <w:t xml:space="preserve">These recommendations are designed to provide guidance for resource planning </w:t>
      </w:r>
      <w:r w:rsidR="003A3681" w:rsidRPr="00372AC4">
        <w:rPr>
          <w:szCs w:val="24"/>
        </w:rPr>
        <w:t>decisions</w:t>
      </w:r>
      <w:r w:rsidR="003A3681">
        <w:rPr>
          <w:szCs w:val="24"/>
        </w:rPr>
        <w:t xml:space="preserve"> but</w:t>
      </w:r>
      <w:r w:rsidRPr="00372AC4">
        <w:rPr>
          <w:szCs w:val="24"/>
        </w:rPr>
        <w:t xml:space="preserve"> should not be considered absolute targets. As explained throughout this report, various factors may justify decisions that result in reserve margins above or below the</w:t>
      </w:r>
      <w:r w:rsidR="009B1CB8">
        <w:rPr>
          <w:szCs w:val="24"/>
        </w:rPr>
        <w:t xml:space="preserve"> specified</w:t>
      </w:r>
      <w:r w:rsidRPr="00372AC4">
        <w:rPr>
          <w:szCs w:val="24"/>
        </w:rPr>
        <w:t xml:space="preserve"> targets </w:t>
      </w:r>
      <w:r w:rsidR="00E16912">
        <w:rPr>
          <w:szCs w:val="24"/>
        </w:rPr>
        <w:t>due to</w:t>
      </w:r>
      <w:r w:rsidRPr="00372AC4">
        <w:rPr>
          <w:szCs w:val="24"/>
        </w:rPr>
        <w:t xml:space="preserve"> the large size of capacity additions, the availability and price of market capacity, or economic changes. </w:t>
      </w:r>
    </w:p>
    <w:p w14:paraId="738B630B" w14:textId="77777777" w:rsidR="00DC3A0E" w:rsidRDefault="00DC3A0E">
      <w:pPr>
        <w:spacing w:line="240" w:lineRule="auto"/>
        <w:jc w:val="left"/>
        <w:rPr>
          <w:szCs w:val="24"/>
        </w:rPr>
      </w:pPr>
    </w:p>
    <w:p w14:paraId="2FAB0889" w14:textId="77777777" w:rsidR="00DC3A0E" w:rsidRDefault="00DC3A0E">
      <w:pPr>
        <w:spacing w:line="240" w:lineRule="auto"/>
        <w:jc w:val="left"/>
        <w:rPr>
          <w:szCs w:val="24"/>
        </w:rPr>
      </w:pPr>
      <w:r>
        <w:rPr>
          <w:szCs w:val="24"/>
        </w:rPr>
        <w:t>RECOMMENDATIONS:</w:t>
      </w:r>
    </w:p>
    <w:p w14:paraId="102D0D47" w14:textId="77777777" w:rsidR="00DC3A0E" w:rsidRDefault="00DC3A0E">
      <w:pPr>
        <w:spacing w:line="240" w:lineRule="auto"/>
        <w:jc w:val="left"/>
        <w:rPr>
          <w:szCs w:val="24"/>
        </w:rPr>
      </w:pPr>
    </w:p>
    <w:p w14:paraId="2B70973F" w14:textId="790DDD40" w:rsidR="00DC3A0E" w:rsidRDefault="6C669E0A" w:rsidP="458F86C6">
      <w:pPr>
        <w:pStyle w:val="ListParagraph"/>
        <w:numPr>
          <w:ilvl w:val="0"/>
          <w:numId w:val="31"/>
        </w:numPr>
        <w:ind w:left="720"/>
        <w:jc w:val="left"/>
      </w:pPr>
      <w:r>
        <w:t xml:space="preserve">Maintain the current 26.00% as the Winter TRM </w:t>
      </w:r>
    </w:p>
    <w:p w14:paraId="1F57B2EA" w14:textId="52769A0F" w:rsidR="00DC3A0E" w:rsidRDefault="00A80D2F" w:rsidP="00C75606">
      <w:pPr>
        <w:pStyle w:val="ListParagraph"/>
        <w:numPr>
          <w:ilvl w:val="0"/>
          <w:numId w:val="31"/>
        </w:numPr>
        <w:ind w:left="720"/>
        <w:jc w:val="left"/>
      </w:pPr>
      <w:r>
        <w:t>Increase the Summer</w:t>
      </w:r>
      <w:r w:rsidR="00DC3A0E">
        <w:t xml:space="preserve"> TRM </w:t>
      </w:r>
      <w:r>
        <w:t>to</w:t>
      </w:r>
      <w:r w:rsidR="00DC3A0E">
        <w:t xml:space="preserve"> </w:t>
      </w:r>
      <w:r>
        <w:t>20.00%</w:t>
      </w:r>
    </w:p>
    <w:p w14:paraId="7D7AB984" w14:textId="15F16509" w:rsidR="0053151C" w:rsidRPr="00DC3A0E" w:rsidRDefault="00DC3A0E" w:rsidP="00C75606">
      <w:pPr>
        <w:pStyle w:val="ListParagraph"/>
        <w:numPr>
          <w:ilvl w:val="0"/>
          <w:numId w:val="31"/>
        </w:numPr>
        <w:ind w:left="720"/>
        <w:jc w:val="left"/>
        <w:rPr>
          <w:szCs w:val="24"/>
        </w:rPr>
      </w:pPr>
      <w:r w:rsidRPr="006B4883">
        <w:rPr>
          <w:szCs w:val="24"/>
        </w:rPr>
        <w:t xml:space="preserve">Apply a short-term reserve margin </w:t>
      </w:r>
      <w:r w:rsidR="00F0652D" w:rsidRPr="006B4883">
        <w:rPr>
          <w:szCs w:val="24"/>
        </w:rPr>
        <w:t>that is</w:t>
      </w:r>
      <w:r w:rsidRPr="006B4883">
        <w:rPr>
          <w:szCs w:val="24"/>
        </w:rPr>
        <w:t xml:space="preserve"> 0.5% </w:t>
      </w:r>
      <w:r w:rsidR="00F0652D" w:rsidRPr="006B4883">
        <w:rPr>
          <w:szCs w:val="24"/>
        </w:rPr>
        <w:t>lower than</w:t>
      </w:r>
      <w:r w:rsidR="00F0652D">
        <w:rPr>
          <w:szCs w:val="24"/>
        </w:rPr>
        <w:t xml:space="preserve"> </w:t>
      </w:r>
      <w:r>
        <w:rPr>
          <w:szCs w:val="24"/>
        </w:rPr>
        <w:t>the long-term reserve margins</w:t>
      </w:r>
    </w:p>
    <w:p w14:paraId="682BEB2C" w14:textId="5F70FFBE" w:rsidR="00FE220C" w:rsidRPr="00FE220C" w:rsidRDefault="00FE220C" w:rsidP="00EA46AD">
      <w:pPr>
        <w:pStyle w:val="Heading1"/>
        <w:numPr>
          <w:ilvl w:val="0"/>
          <w:numId w:val="0"/>
        </w:numPr>
        <w:rPr>
          <w:sz w:val="24"/>
          <w:szCs w:val="24"/>
        </w:rPr>
      </w:pPr>
      <w:bookmarkStart w:id="18" w:name="_Toc187234583"/>
      <w:bookmarkEnd w:id="0"/>
      <w:r w:rsidRPr="23BD6EA5">
        <w:rPr>
          <w:sz w:val="24"/>
          <w:szCs w:val="24"/>
        </w:rPr>
        <w:t>T</w:t>
      </w:r>
      <w:r w:rsidR="00EA46AD" w:rsidRPr="23BD6EA5">
        <w:rPr>
          <w:sz w:val="24"/>
          <w:szCs w:val="24"/>
        </w:rPr>
        <w:t>ABLE OF CONTENTS</w:t>
      </w:r>
      <w:bookmarkEnd w:id="18"/>
    </w:p>
    <w:sdt>
      <w:sdtPr>
        <w:id w:val="1272051829"/>
        <w:docPartObj>
          <w:docPartGallery w:val="Table of Contents"/>
          <w:docPartUnique/>
        </w:docPartObj>
      </w:sdtPr>
      <w:sdtEndPr>
        <w:rPr>
          <w:b/>
          <w:bCs/>
          <w:noProof/>
        </w:rPr>
      </w:sdtEndPr>
      <w:sdtContent>
        <w:p w14:paraId="77E9D850" w14:textId="77777777" w:rsidR="00FE220C" w:rsidRPr="00FE220C" w:rsidRDefault="00FE220C" w:rsidP="00FE220C">
          <w:pPr>
            <w:rPr>
              <w:lang w:eastAsia="ja-JP"/>
            </w:rPr>
          </w:pPr>
        </w:p>
        <w:p w14:paraId="4EA1B92E" w14:textId="5CE43783" w:rsidR="00E25CCA" w:rsidRDefault="00FE220C">
          <w:pPr>
            <w:pStyle w:val="TOC1"/>
            <w:rPr>
              <w:rFonts w:asciiTheme="minorHAnsi" w:eastAsiaTheme="minorEastAsia" w:hAnsiTheme="minorHAnsi" w:cstheme="minorBidi"/>
              <w:noProof/>
              <w:kern w:val="2"/>
              <w:sz w:val="24"/>
              <w:szCs w:val="24"/>
              <w14:ligatures w14:val="standardContextual"/>
            </w:rPr>
          </w:pPr>
          <w:r>
            <w:fldChar w:fldCharType="begin"/>
          </w:r>
          <w:r>
            <w:instrText xml:space="preserve"> TOC \o "1-3" \h \z \u </w:instrText>
          </w:r>
          <w:r>
            <w:fldChar w:fldCharType="separate"/>
          </w:r>
          <w:hyperlink w:anchor="_Toc187234582" w:history="1">
            <w:r w:rsidR="00E25CCA" w:rsidRPr="00FA699C">
              <w:rPr>
                <w:rStyle w:val="Hyperlink"/>
                <w:noProof/>
              </w:rPr>
              <w:t>EXECUTIVE SUMMARY</w:t>
            </w:r>
            <w:r w:rsidR="00E25CCA">
              <w:rPr>
                <w:noProof/>
                <w:webHidden/>
              </w:rPr>
              <w:tab/>
            </w:r>
            <w:r w:rsidR="00E25CCA">
              <w:rPr>
                <w:noProof/>
                <w:webHidden/>
              </w:rPr>
              <w:fldChar w:fldCharType="begin"/>
            </w:r>
            <w:r w:rsidR="00E25CCA">
              <w:rPr>
                <w:noProof/>
                <w:webHidden/>
              </w:rPr>
              <w:instrText xml:space="preserve"> PAGEREF _Toc187234582 \h </w:instrText>
            </w:r>
            <w:r w:rsidR="00E25CCA">
              <w:rPr>
                <w:noProof/>
                <w:webHidden/>
              </w:rPr>
            </w:r>
            <w:r w:rsidR="00E25CCA">
              <w:rPr>
                <w:noProof/>
                <w:webHidden/>
              </w:rPr>
              <w:fldChar w:fldCharType="separate"/>
            </w:r>
            <w:r w:rsidR="00E25CCA">
              <w:rPr>
                <w:noProof/>
                <w:webHidden/>
              </w:rPr>
              <w:t>i</w:t>
            </w:r>
            <w:r w:rsidR="00E25CCA">
              <w:rPr>
                <w:noProof/>
                <w:webHidden/>
              </w:rPr>
              <w:fldChar w:fldCharType="end"/>
            </w:r>
          </w:hyperlink>
        </w:p>
        <w:p w14:paraId="2D4A08D5" w14:textId="5C31E0EC" w:rsidR="00E25CCA" w:rsidRDefault="00E25CCA">
          <w:pPr>
            <w:pStyle w:val="TOC1"/>
            <w:rPr>
              <w:rFonts w:asciiTheme="minorHAnsi" w:eastAsiaTheme="minorEastAsia" w:hAnsiTheme="minorHAnsi" w:cstheme="minorBidi"/>
              <w:noProof/>
              <w:kern w:val="2"/>
              <w:sz w:val="24"/>
              <w:szCs w:val="24"/>
              <w14:ligatures w14:val="standardContextual"/>
            </w:rPr>
          </w:pPr>
          <w:hyperlink w:anchor="_Toc187234583" w:history="1">
            <w:r w:rsidRPr="00FA699C">
              <w:rPr>
                <w:rStyle w:val="Hyperlink"/>
                <w:noProof/>
              </w:rPr>
              <w:t>TABLE OF CONTENTS</w:t>
            </w:r>
            <w:r>
              <w:rPr>
                <w:noProof/>
                <w:webHidden/>
              </w:rPr>
              <w:tab/>
            </w:r>
            <w:r>
              <w:rPr>
                <w:noProof/>
                <w:webHidden/>
              </w:rPr>
              <w:fldChar w:fldCharType="begin"/>
            </w:r>
            <w:r>
              <w:rPr>
                <w:noProof/>
                <w:webHidden/>
              </w:rPr>
              <w:instrText xml:space="preserve"> PAGEREF _Toc187234583 \h </w:instrText>
            </w:r>
            <w:r>
              <w:rPr>
                <w:noProof/>
                <w:webHidden/>
              </w:rPr>
            </w:r>
            <w:r>
              <w:rPr>
                <w:noProof/>
                <w:webHidden/>
              </w:rPr>
              <w:fldChar w:fldCharType="separate"/>
            </w:r>
            <w:r>
              <w:rPr>
                <w:noProof/>
                <w:webHidden/>
              </w:rPr>
              <w:t>xiv</w:t>
            </w:r>
            <w:r>
              <w:rPr>
                <w:noProof/>
                <w:webHidden/>
              </w:rPr>
              <w:fldChar w:fldCharType="end"/>
            </w:r>
          </w:hyperlink>
        </w:p>
        <w:p w14:paraId="0C41952B" w14:textId="7946119B" w:rsidR="00E25CCA" w:rsidRDefault="00E25CCA">
          <w:pPr>
            <w:pStyle w:val="TOC1"/>
            <w:rPr>
              <w:rFonts w:asciiTheme="minorHAnsi" w:eastAsiaTheme="minorEastAsia" w:hAnsiTheme="minorHAnsi" w:cstheme="minorBidi"/>
              <w:noProof/>
              <w:kern w:val="2"/>
              <w:sz w:val="24"/>
              <w:szCs w:val="24"/>
              <w14:ligatures w14:val="standardContextual"/>
            </w:rPr>
          </w:pPr>
          <w:hyperlink w:anchor="_Toc187234584" w:history="1">
            <w:r w:rsidRPr="00FA699C">
              <w:rPr>
                <w:rStyle w:val="Hyperlink"/>
                <w:noProof/>
              </w:rPr>
              <w:t>LIST OF TABLES</w:t>
            </w:r>
            <w:r>
              <w:rPr>
                <w:noProof/>
                <w:webHidden/>
              </w:rPr>
              <w:tab/>
            </w:r>
            <w:r>
              <w:rPr>
                <w:noProof/>
                <w:webHidden/>
              </w:rPr>
              <w:fldChar w:fldCharType="begin"/>
            </w:r>
            <w:r>
              <w:rPr>
                <w:noProof/>
                <w:webHidden/>
              </w:rPr>
              <w:instrText xml:space="preserve"> PAGEREF _Toc187234584 \h </w:instrText>
            </w:r>
            <w:r>
              <w:rPr>
                <w:noProof/>
                <w:webHidden/>
              </w:rPr>
            </w:r>
            <w:r>
              <w:rPr>
                <w:noProof/>
                <w:webHidden/>
              </w:rPr>
              <w:fldChar w:fldCharType="separate"/>
            </w:r>
            <w:r>
              <w:rPr>
                <w:noProof/>
                <w:webHidden/>
              </w:rPr>
              <w:t>xvi</w:t>
            </w:r>
            <w:r>
              <w:rPr>
                <w:noProof/>
                <w:webHidden/>
              </w:rPr>
              <w:fldChar w:fldCharType="end"/>
            </w:r>
          </w:hyperlink>
        </w:p>
        <w:p w14:paraId="4B045887" w14:textId="04938A2B" w:rsidR="00E25CCA" w:rsidRDefault="00E25CCA">
          <w:pPr>
            <w:pStyle w:val="TOC1"/>
            <w:rPr>
              <w:rFonts w:asciiTheme="minorHAnsi" w:eastAsiaTheme="minorEastAsia" w:hAnsiTheme="minorHAnsi" w:cstheme="minorBidi"/>
              <w:noProof/>
              <w:kern w:val="2"/>
              <w:sz w:val="24"/>
              <w:szCs w:val="24"/>
              <w14:ligatures w14:val="standardContextual"/>
            </w:rPr>
          </w:pPr>
          <w:hyperlink w:anchor="_Toc187234585" w:history="1">
            <w:r w:rsidRPr="00FA699C">
              <w:rPr>
                <w:rStyle w:val="Hyperlink"/>
                <w:noProof/>
              </w:rPr>
              <w:t>LIST OF FIGURES</w:t>
            </w:r>
            <w:r>
              <w:rPr>
                <w:noProof/>
                <w:webHidden/>
              </w:rPr>
              <w:tab/>
            </w:r>
            <w:r>
              <w:rPr>
                <w:noProof/>
                <w:webHidden/>
              </w:rPr>
              <w:fldChar w:fldCharType="begin"/>
            </w:r>
            <w:r>
              <w:rPr>
                <w:noProof/>
                <w:webHidden/>
              </w:rPr>
              <w:instrText xml:space="preserve"> PAGEREF _Toc187234585 \h </w:instrText>
            </w:r>
            <w:r>
              <w:rPr>
                <w:noProof/>
                <w:webHidden/>
              </w:rPr>
            </w:r>
            <w:r>
              <w:rPr>
                <w:noProof/>
                <w:webHidden/>
              </w:rPr>
              <w:fldChar w:fldCharType="separate"/>
            </w:r>
            <w:r>
              <w:rPr>
                <w:noProof/>
                <w:webHidden/>
              </w:rPr>
              <w:t>xvii</w:t>
            </w:r>
            <w:r>
              <w:rPr>
                <w:noProof/>
                <w:webHidden/>
              </w:rPr>
              <w:fldChar w:fldCharType="end"/>
            </w:r>
          </w:hyperlink>
        </w:p>
        <w:p w14:paraId="00C51EF2" w14:textId="59E76E12" w:rsidR="00E25CCA" w:rsidRDefault="00E25CCA">
          <w:pPr>
            <w:pStyle w:val="TOC1"/>
            <w:rPr>
              <w:rFonts w:asciiTheme="minorHAnsi" w:eastAsiaTheme="minorEastAsia" w:hAnsiTheme="minorHAnsi" w:cstheme="minorBidi"/>
              <w:noProof/>
              <w:kern w:val="2"/>
              <w:sz w:val="24"/>
              <w:szCs w:val="24"/>
              <w14:ligatures w14:val="standardContextual"/>
            </w:rPr>
          </w:pPr>
          <w:hyperlink w:anchor="_Toc187234586" w:history="1">
            <w:r w:rsidRPr="00FA699C">
              <w:rPr>
                <w:rStyle w:val="Hyperlink"/>
                <w:noProof/>
              </w:rPr>
              <w:t>I. ASSUMPTIONS</w:t>
            </w:r>
            <w:r>
              <w:rPr>
                <w:noProof/>
                <w:webHidden/>
              </w:rPr>
              <w:tab/>
            </w:r>
            <w:r>
              <w:rPr>
                <w:noProof/>
                <w:webHidden/>
              </w:rPr>
              <w:fldChar w:fldCharType="begin"/>
            </w:r>
            <w:r>
              <w:rPr>
                <w:noProof/>
                <w:webHidden/>
              </w:rPr>
              <w:instrText xml:space="preserve"> PAGEREF _Toc187234586 \h </w:instrText>
            </w:r>
            <w:r>
              <w:rPr>
                <w:noProof/>
                <w:webHidden/>
              </w:rPr>
            </w:r>
            <w:r>
              <w:rPr>
                <w:noProof/>
                <w:webHidden/>
              </w:rPr>
              <w:fldChar w:fldCharType="separate"/>
            </w:r>
            <w:r>
              <w:rPr>
                <w:noProof/>
                <w:webHidden/>
              </w:rPr>
              <w:t>1</w:t>
            </w:r>
            <w:r>
              <w:rPr>
                <w:noProof/>
                <w:webHidden/>
              </w:rPr>
              <w:fldChar w:fldCharType="end"/>
            </w:r>
          </w:hyperlink>
        </w:p>
        <w:p w14:paraId="2540CC9C" w14:textId="6694A2CC"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87" w:history="1">
            <w:r w:rsidRPr="00FA699C">
              <w:rPr>
                <w:rStyle w:val="Hyperlink"/>
                <w:noProof/>
              </w:rPr>
              <w:t>A. Reliability Simulation Model</w:t>
            </w:r>
            <w:r>
              <w:rPr>
                <w:noProof/>
                <w:webHidden/>
              </w:rPr>
              <w:tab/>
            </w:r>
            <w:r>
              <w:rPr>
                <w:noProof/>
                <w:webHidden/>
              </w:rPr>
              <w:fldChar w:fldCharType="begin"/>
            </w:r>
            <w:r>
              <w:rPr>
                <w:noProof/>
                <w:webHidden/>
              </w:rPr>
              <w:instrText xml:space="preserve"> PAGEREF _Toc187234587 \h </w:instrText>
            </w:r>
            <w:r>
              <w:rPr>
                <w:noProof/>
                <w:webHidden/>
              </w:rPr>
            </w:r>
            <w:r>
              <w:rPr>
                <w:noProof/>
                <w:webHidden/>
              </w:rPr>
              <w:fldChar w:fldCharType="separate"/>
            </w:r>
            <w:r>
              <w:rPr>
                <w:noProof/>
                <w:webHidden/>
              </w:rPr>
              <w:t>1</w:t>
            </w:r>
            <w:r>
              <w:rPr>
                <w:noProof/>
                <w:webHidden/>
              </w:rPr>
              <w:fldChar w:fldCharType="end"/>
            </w:r>
          </w:hyperlink>
        </w:p>
        <w:p w14:paraId="41F633F8" w14:textId="5CF41075"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88" w:history="1">
            <w:r w:rsidRPr="00FA699C">
              <w:rPr>
                <w:rStyle w:val="Hyperlink"/>
                <w:noProof/>
              </w:rPr>
              <w:t>B. Study Year</w:t>
            </w:r>
            <w:r>
              <w:rPr>
                <w:noProof/>
                <w:webHidden/>
              </w:rPr>
              <w:tab/>
            </w:r>
            <w:r>
              <w:rPr>
                <w:noProof/>
                <w:webHidden/>
              </w:rPr>
              <w:fldChar w:fldCharType="begin"/>
            </w:r>
            <w:r>
              <w:rPr>
                <w:noProof/>
                <w:webHidden/>
              </w:rPr>
              <w:instrText xml:space="preserve"> PAGEREF _Toc187234588 \h </w:instrText>
            </w:r>
            <w:r>
              <w:rPr>
                <w:noProof/>
                <w:webHidden/>
              </w:rPr>
            </w:r>
            <w:r>
              <w:rPr>
                <w:noProof/>
                <w:webHidden/>
              </w:rPr>
              <w:fldChar w:fldCharType="separate"/>
            </w:r>
            <w:r>
              <w:rPr>
                <w:noProof/>
                <w:webHidden/>
              </w:rPr>
              <w:t>1</w:t>
            </w:r>
            <w:r>
              <w:rPr>
                <w:noProof/>
                <w:webHidden/>
              </w:rPr>
              <w:fldChar w:fldCharType="end"/>
            </w:r>
          </w:hyperlink>
        </w:p>
        <w:p w14:paraId="1D349863" w14:textId="7CC352D7"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89" w:history="1">
            <w:r w:rsidRPr="00FA699C">
              <w:rPr>
                <w:rStyle w:val="Hyperlink"/>
                <w:noProof/>
              </w:rPr>
              <w:t>C. Weather Years</w:t>
            </w:r>
            <w:r>
              <w:rPr>
                <w:noProof/>
                <w:webHidden/>
              </w:rPr>
              <w:tab/>
            </w:r>
            <w:r>
              <w:rPr>
                <w:noProof/>
                <w:webHidden/>
              </w:rPr>
              <w:fldChar w:fldCharType="begin"/>
            </w:r>
            <w:r>
              <w:rPr>
                <w:noProof/>
                <w:webHidden/>
              </w:rPr>
              <w:instrText xml:space="preserve"> PAGEREF _Toc187234589 \h </w:instrText>
            </w:r>
            <w:r>
              <w:rPr>
                <w:noProof/>
                <w:webHidden/>
              </w:rPr>
            </w:r>
            <w:r>
              <w:rPr>
                <w:noProof/>
                <w:webHidden/>
              </w:rPr>
              <w:fldChar w:fldCharType="separate"/>
            </w:r>
            <w:r>
              <w:rPr>
                <w:noProof/>
                <w:webHidden/>
              </w:rPr>
              <w:t>1</w:t>
            </w:r>
            <w:r>
              <w:rPr>
                <w:noProof/>
                <w:webHidden/>
              </w:rPr>
              <w:fldChar w:fldCharType="end"/>
            </w:r>
          </w:hyperlink>
        </w:p>
        <w:p w14:paraId="05C6BD53" w14:textId="0D88B519"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90" w:history="1">
            <w:r w:rsidRPr="00FA699C">
              <w:rPr>
                <w:rStyle w:val="Hyperlink"/>
                <w:noProof/>
              </w:rPr>
              <w:t>D. Market Modeling</w:t>
            </w:r>
            <w:r>
              <w:rPr>
                <w:noProof/>
                <w:webHidden/>
              </w:rPr>
              <w:tab/>
            </w:r>
            <w:r>
              <w:rPr>
                <w:noProof/>
                <w:webHidden/>
              </w:rPr>
              <w:fldChar w:fldCharType="begin"/>
            </w:r>
            <w:r>
              <w:rPr>
                <w:noProof/>
                <w:webHidden/>
              </w:rPr>
              <w:instrText xml:space="preserve"> PAGEREF _Toc187234590 \h </w:instrText>
            </w:r>
            <w:r>
              <w:rPr>
                <w:noProof/>
                <w:webHidden/>
              </w:rPr>
            </w:r>
            <w:r>
              <w:rPr>
                <w:noProof/>
                <w:webHidden/>
              </w:rPr>
              <w:fldChar w:fldCharType="separate"/>
            </w:r>
            <w:r>
              <w:rPr>
                <w:noProof/>
                <w:webHidden/>
              </w:rPr>
              <w:t>5</w:t>
            </w:r>
            <w:r>
              <w:rPr>
                <w:noProof/>
                <w:webHidden/>
              </w:rPr>
              <w:fldChar w:fldCharType="end"/>
            </w:r>
          </w:hyperlink>
        </w:p>
        <w:p w14:paraId="3459C4D6" w14:textId="02B8B835"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91" w:history="1">
            <w:r w:rsidRPr="00FA699C">
              <w:rPr>
                <w:rStyle w:val="Hyperlink"/>
                <w:noProof/>
              </w:rPr>
              <w:t>E. Peak Load Forecast</w:t>
            </w:r>
            <w:r>
              <w:rPr>
                <w:noProof/>
                <w:webHidden/>
              </w:rPr>
              <w:tab/>
            </w:r>
            <w:r>
              <w:rPr>
                <w:noProof/>
                <w:webHidden/>
              </w:rPr>
              <w:fldChar w:fldCharType="begin"/>
            </w:r>
            <w:r>
              <w:rPr>
                <w:noProof/>
                <w:webHidden/>
              </w:rPr>
              <w:instrText xml:space="preserve"> PAGEREF _Toc187234591 \h </w:instrText>
            </w:r>
            <w:r>
              <w:rPr>
                <w:noProof/>
                <w:webHidden/>
              </w:rPr>
            </w:r>
            <w:r>
              <w:rPr>
                <w:noProof/>
                <w:webHidden/>
              </w:rPr>
              <w:fldChar w:fldCharType="separate"/>
            </w:r>
            <w:r>
              <w:rPr>
                <w:noProof/>
                <w:webHidden/>
              </w:rPr>
              <w:t>12</w:t>
            </w:r>
            <w:r>
              <w:rPr>
                <w:noProof/>
                <w:webHidden/>
              </w:rPr>
              <w:fldChar w:fldCharType="end"/>
            </w:r>
          </w:hyperlink>
        </w:p>
        <w:p w14:paraId="72E11B9B" w14:textId="703D4DE1"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92" w:history="1">
            <w:r w:rsidRPr="00FA699C">
              <w:rPr>
                <w:rStyle w:val="Hyperlink"/>
                <w:noProof/>
              </w:rPr>
              <w:t>F. Load Forecast Uncertainty</w:t>
            </w:r>
            <w:r>
              <w:rPr>
                <w:noProof/>
                <w:webHidden/>
              </w:rPr>
              <w:tab/>
            </w:r>
            <w:r>
              <w:rPr>
                <w:noProof/>
                <w:webHidden/>
              </w:rPr>
              <w:fldChar w:fldCharType="begin"/>
            </w:r>
            <w:r>
              <w:rPr>
                <w:noProof/>
                <w:webHidden/>
              </w:rPr>
              <w:instrText xml:space="preserve"> PAGEREF _Toc187234592 \h </w:instrText>
            </w:r>
            <w:r>
              <w:rPr>
                <w:noProof/>
                <w:webHidden/>
              </w:rPr>
            </w:r>
            <w:r>
              <w:rPr>
                <w:noProof/>
                <w:webHidden/>
              </w:rPr>
              <w:fldChar w:fldCharType="separate"/>
            </w:r>
            <w:r>
              <w:rPr>
                <w:noProof/>
                <w:webHidden/>
              </w:rPr>
              <w:t>13</w:t>
            </w:r>
            <w:r>
              <w:rPr>
                <w:noProof/>
                <w:webHidden/>
              </w:rPr>
              <w:fldChar w:fldCharType="end"/>
            </w:r>
          </w:hyperlink>
        </w:p>
        <w:p w14:paraId="40ED0FA8" w14:textId="01FD187C"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93" w:history="1">
            <w:r w:rsidRPr="00FA699C">
              <w:rPr>
                <w:rStyle w:val="Hyperlink"/>
                <w:noProof/>
              </w:rPr>
              <w:t>G. Generating Unit Capacity Ratings</w:t>
            </w:r>
            <w:r>
              <w:rPr>
                <w:noProof/>
                <w:webHidden/>
              </w:rPr>
              <w:tab/>
            </w:r>
            <w:r>
              <w:rPr>
                <w:noProof/>
                <w:webHidden/>
              </w:rPr>
              <w:fldChar w:fldCharType="begin"/>
            </w:r>
            <w:r>
              <w:rPr>
                <w:noProof/>
                <w:webHidden/>
              </w:rPr>
              <w:instrText xml:space="preserve"> PAGEREF _Toc187234593 \h </w:instrText>
            </w:r>
            <w:r>
              <w:rPr>
                <w:noProof/>
                <w:webHidden/>
              </w:rPr>
            </w:r>
            <w:r>
              <w:rPr>
                <w:noProof/>
                <w:webHidden/>
              </w:rPr>
              <w:fldChar w:fldCharType="separate"/>
            </w:r>
            <w:r>
              <w:rPr>
                <w:noProof/>
                <w:webHidden/>
              </w:rPr>
              <w:t>15</w:t>
            </w:r>
            <w:r>
              <w:rPr>
                <w:noProof/>
                <w:webHidden/>
              </w:rPr>
              <w:fldChar w:fldCharType="end"/>
            </w:r>
          </w:hyperlink>
        </w:p>
        <w:p w14:paraId="617E6DBB" w14:textId="54F0AD14"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94" w:history="1">
            <w:r w:rsidRPr="00FA699C">
              <w:rPr>
                <w:rStyle w:val="Hyperlink"/>
                <w:noProof/>
              </w:rPr>
              <w:t>H. Generating Unit Outage Rates</w:t>
            </w:r>
            <w:r>
              <w:rPr>
                <w:noProof/>
                <w:webHidden/>
              </w:rPr>
              <w:tab/>
            </w:r>
            <w:r>
              <w:rPr>
                <w:noProof/>
                <w:webHidden/>
              </w:rPr>
              <w:fldChar w:fldCharType="begin"/>
            </w:r>
            <w:r>
              <w:rPr>
                <w:noProof/>
                <w:webHidden/>
              </w:rPr>
              <w:instrText xml:space="preserve"> PAGEREF _Toc187234594 \h </w:instrText>
            </w:r>
            <w:r>
              <w:rPr>
                <w:noProof/>
                <w:webHidden/>
              </w:rPr>
            </w:r>
            <w:r>
              <w:rPr>
                <w:noProof/>
                <w:webHidden/>
              </w:rPr>
              <w:fldChar w:fldCharType="separate"/>
            </w:r>
            <w:r>
              <w:rPr>
                <w:noProof/>
                <w:webHidden/>
              </w:rPr>
              <w:t>17</w:t>
            </w:r>
            <w:r>
              <w:rPr>
                <w:noProof/>
                <w:webHidden/>
              </w:rPr>
              <w:fldChar w:fldCharType="end"/>
            </w:r>
          </w:hyperlink>
        </w:p>
        <w:p w14:paraId="4A4486A2" w14:textId="34C44514"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95" w:history="1">
            <w:r w:rsidRPr="00FA699C">
              <w:rPr>
                <w:rStyle w:val="Hyperlink"/>
                <w:noProof/>
              </w:rPr>
              <w:t>I. Incremental Cold Weather Outages</w:t>
            </w:r>
            <w:r>
              <w:rPr>
                <w:noProof/>
                <w:webHidden/>
              </w:rPr>
              <w:tab/>
            </w:r>
            <w:r>
              <w:rPr>
                <w:noProof/>
                <w:webHidden/>
              </w:rPr>
              <w:fldChar w:fldCharType="begin"/>
            </w:r>
            <w:r>
              <w:rPr>
                <w:noProof/>
                <w:webHidden/>
              </w:rPr>
              <w:instrText xml:space="preserve"> PAGEREF _Toc187234595 \h </w:instrText>
            </w:r>
            <w:r>
              <w:rPr>
                <w:noProof/>
                <w:webHidden/>
              </w:rPr>
            </w:r>
            <w:r>
              <w:rPr>
                <w:noProof/>
                <w:webHidden/>
              </w:rPr>
              <w:fldChar w:fldCharType="separate"/>
            </w:r>
            <w:r>
              <w:rPr>
                <w:noProof/>
                <w:webHidden/>
              </w:rPr>
              <w:t>20</w:t>
            </w:r>
            <w:r>
              <w:rPr>
                <w:noProof/>
                <w:webHidden/>
              </w:rPr>
              <w:fldChar w:fldCharType="end"/>
            </w:r>
          </w:hyperlink>
        </w:p>
        <w:p w14:paraId="41EDDDAD" w14:textId="66042006"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96" w:history="1">
            <w:r w:rsidRPr="00FA699C">
              <w:rPr>
                <w:rStyle w:val="Hyperlink"/>
                <w:noProof/>
              </w:rPr>
              <w:t>J. Planned and Maintenance Outage Patterns</w:t>
            </w:r>
            <w:r>
              <w:rPr>
                <w:noProof/>
                <w:webHidden/>
              </w:rPr>
              <w:tab/>
            </w:r>
            <w:r>
              <w:rPr>
                <w:noProof/>
                <w:webHidden/>
              </w:rPr>
              <w:fldChar w:fldCharType="begin"/>
            </w:r>
            <w:r>
              <w:rPr>
                <w:noProof/>
                <w:webHidden/>
              </w:rPr>
              <w:instrText xml:space="preserve"> PAGEREF _Toc187234596 \h </w:instrText>
            </w:r>
            <w:r>
              <w:rPr>
                <w:noProof/>
                <w:webHidden/>
              </w:rPr>
            </w:r>
            <w:r>
              <w:rPr>
                <w:noProof/>
                <w:webHidden/>
              </w:rPr>
              <w:fldChar w:fldCharType="separate"/>
            </w:r>
            <w:r>
              <w:rPr>
                <w:noProof/>
                <w:webHidden/>
              </w:rPr>
              <w:t>23</w:t>
            </w:r>
            <w:r>
              <w:rPr>
                <w:noProof/>
                <w:webHidden/>
              </w:rPr>
              <w:fldChar w:fldCharType="end"/>
            </w:r>
          </w:hyperlink>
        </w:p>
        <w:p w14:paraId="5D5E141B" w14:textId="4F437587"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97" w:history="1">
            <w:r w:rsidRPr="00FA699C">
              <w:rPr>
                <w:rStyle w:val="Hyperlink"/>
                <w:noProof/>
              </w:rPr>
              <w:t>K. Commitment and Operating Reserves</w:t>
            </w:r>
            <w:r>
              <w:rPr>
                <w:noProof/>
                <w:webHidden/>
              </w:rPr>
              <w:tab/>
            </w:r>
            <w:r>
              <w:rPr>
                <w:noProof/>
                <w:webHidden/>
              </w:rPr>
              <w:fldChar w:fldCharType="begin"/>
            </w:r>
            <w:r>
              <w:rPr>
                <w:noProof/>
                <w:webHidden/>
              </w:rPr>
              <w:instrText xml:space="preserve"> PAGEREF _Toc187234597 \h </w:instrText>
            </w:r>
            <w:r>
              <w:rPr>
                <w:noProof/>
                <w:webHidden/>
              </w:rPr>
            </w:r>
            <w:r>
              <w:rPr>
                <w:noProof/>
                <w:webHidden/>
              </w:rPr>
              <w:fldChar w:fldCharType="separate"/>
            </w:r>
            <w:r>
              <w:rPr>
                <w:noProof/>
                <w:webHidden/>
              </w:rPr>
              <w:t>24</w:t>
            </w:r>
            <w:r>
              <w:rPr>
                <w:noProof/>
                <w:webHidden/>
              </w:rPr>
              <w:fldChar w:fldCharType="end"/>
            </w:r>
          </w:hyperlink>
        </w:p>
        <w:p w14:paraId="7D363CFA" w14:textId="054D5715"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98" w:history="1">
            <w:r w:rsidRPr="00FA699C">
              <w:rPr>
                <w:rStyle w:val="Hyperlink"/>
                <w:noProof/>
              </w:rPr>
              <w:t>L. Dispatch Order</w:t>
            </w:r>
            <w:r>
              <w:rPr>
                <w:noProof/>
                <w:webHidden/>
              </w:rPr>
              <w:tab/>
            </w:r>
            <w:r>
              <w:rPr>
                <w:noProof/>
                <w:webHidden/>
              </w:rPr>
              <w:fldChar w:fldCharType="begin"/>
            </w:r>
            <w:r>
              <w:rPr>
                <w:noProof/>
                <w:webHidden/>
              </w:rPr>
              <w:instrText xml:space="preserve"> PAGEREF _Toc187234598 \h </w:instrText>
            </w:r>
            <w:r>
              <w:rPr>
                <w:noProof/>
                <w:webHidden/>
              </w:rPr>
            </w:r>
            <w:r>
              <w:rPr>
                <w:noProof/>
                <w:webHidden/>
              </w:rPr>
              <w:fldChar w:fldCharType="separate"/>
            </w:r>
            <w:r>
              <w:rPr>
                <w:noProof/>
                <w:webHidden/>
              </w:rPr>
              <w:t>25</w:t>
            </w:r>
            <w:r>
              <w:rPr>
                <w:noProof/>
                <w:webHidden/>
              </w:rPr>
              <w:fldChar w:fldCharType="end"/>
            </w:r>
          </w:hyperlink>
        </w:p>
        <w:p w14:paraId="24CE359D" w14:textId="22255E26"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599" w:history="1">
            <w:r w:rsidRPr="00FA699C">
              <w:rPr>
                <w:rStyle w:val="Hyperlink"/>
                <w:noProof/>
              </w:rPr>
              <w:t>M. Dispatchers’ Peak Load Estimate Error</w:t>
            </w:r>
            <w:r>
              <w:rPr>
                <w:noProof/>
                <w:webHidden/>
              </w:rPr>
              <w:tab/>
            </w:r>
            <w:r>
              <w:rPr>
                <w:noProof/>
                <w:webHidden/>
              </w:rPr>
              <w:fldChar w:fldCharType="begin"/>
            </w:r>
            <w:r>
              <w:rPr>
                <w:noProof/>
                <w:webHidden/>
              </w:rPr>
              <w:instrText xml:space="preserve"> PAGEREF _Toc187234599 \h </w:instrText>
            </w:r>
            <w:r>
              <w:rPr>
                <w:noProof/>
                <w:webHidden/>
              </w:rPr>
            </w:r>
            <w:r>
              <w:rPr>
                <w:noProof/>
                <w:webHidden/>
              </w:rPr>
              <w:fldChar w:fldCharType="separate"/>
            </w:r>
            <w:r>
              <w:rPr>
                <w:noProof/>
                <w:webHidden/>
              </w:rPr>
              <w:t>26</w:t>
            </w:r>
            <w:r>
              <w:rPr>
                <w:noProof/>
                <w:webHidden/>
              </w:rPr>
              <w:fldChar w:fldCharType="end"/>
            </w:r>
          </w:hyperlink>
        </w:p>
        <w:p w14:paraId="15EB8601" w14:textId="087D8712"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00" w:history="1">
            <w:r w:rsidRPr="00FA699C">
              <w:rPr>
                <w:rStyle w:val="Hyperlink"/>
                <w:noProof/>
              </w:rPr>
              <w:t>N. System-Owned Conventional Hydro Generation</w:t>
            </w:r>
            <w:r>
              <w:rPr>
                <w:noProof/>
                <w:webHidden/>
              </w:rPr>
              <w:tab/>
            </w:r>
            <w:r>
              <w:rPr>
                <w:noProof/>
                <w:webHidden/>
              </w:rPr>
              <w:fldChar w:fldCharType="begin"/>
            </w:r>
            <w:r>
              <w:rPr>
                <w:noProof/>
                <w:webHidden/>
              </w:rPr>
              <w:instrText xml:space="preserve"> PAGEREF _Toc187234600 \h </w:instrText>
            </w:r>
            <w:r>
              <w:rPr>
                <w:noProof/>
                <w:webHidden/>
              </w:rPr>
            </w:r>
            <w:r>
              <w:rPr>
                <w:noProof/>
                <w:webHidden/>
              </w:rPr>
              <w:fldChar w:fldCharType="separate"/>
            </w:r>
            <w:r>
              <w:rPr>
                <w:noProof/>
                <w:webHidden/>
              </w:rPr>
              <w:t>27</w:t>
            </w:r>
            <w:r>
              <w:rPr>
                <w:noProof/>
                <w:webHidden/>
              </w:rPr>
              <w:fldChar w:fldCharType="end"/>
            </w:r>
          </w:hyperlink>
        </w:p>
        <w:p w14:paraId="07809029" w14:textId="1776A940"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01" w:history="1">
            <w:r w:rsidRPr="00FA699C">
              <w:rPr>
                <w:rStyle w:val="Hyperlink"/>
                <w:noProof/>
              </w:rPr>
              <w:t>O. SEPA Conventional Hydro</w:t>
            </w:r>
            <w:r>
              <w:rPr>
                <w:noProof/>
                <w:webHidden/>
              </w:rPr>
              <w:tab/>
            </w:r>
            <w:r>
              <w:rPr>
                <w:noProof/>
                <w:webHidden/>
              </w:rPr>
              <w:fldChar w:fldCharType="begin"/>
            </w:r>
            <w:r>
              <w:rPr>
                <w:noProof/>
                <w:webHidden/>
              </w:rPr>
              <w:instrText xml:space="preserve"> PAGEREF _Toc187234601 \h </w:instrText>
            </w:r>
            <w:r>
              <w:rPr>
                <w:noProof/>
                <w:webHidden/>
              </w:rPr>
            </w:r>
            <w:r>
              <w:rPr>
                <w:noProof/>
                <w:webHidden/>
              </w:rPr>
              <w:fldChar w:fldCharType="separate"/>
            </w:r>
            <w:r>
              <w:rPr>
                <w:noProof/>
                <w:webHidden/>
              </w:rPr>
              <w:t>30</w:t>
            </w:r>
            <w:r>
              <w:rPr>
                <w:noProof/>
                <w:webHidden/>
              </w:rPr>
              <w:fldChar w:fldCharType="end"/>
            </w:r>
          </w:hyperlink>
        </w:p>
        <w:p w14:paraId="6A27266B" w14:textId="6A6DA00A"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02" w:history="1">
            <w:r w:rsidRPr="00FA699C">
              <w:rPr>
                <w:rStyle w:val="Hyperlink"/>
                <w:noProof/>
              </w:rPr>
              <w:t>P. Pumped Storage Hydro</w:t>
            </w:r>
            <w:r>
              <w:rPr>
                <w:noProof/>
                <w:webHidden/>
              </w:rPr>
              <w:tab/>
            </w:r>
            <w:r>
              <w:rPr>
                <w:noProof/>
                <w:webHidden/>
              </w:rPr>
              <w:fldChar w:fldCharType="begin"/>
            </w:r>
            <w:r>
              <w:rPr>
                <w:noProof/>
                <w:webHidden/>
              </w:rPr>
              <w:instrText xml:space="preserve"> PAGEREF _Toc187234602 \h </w:instrText>
            </w:r>
            <w:r>
              <w:rPr>
                <w:noProof/>
                <w:webHidden/>
              </w:rPr>
            </w:r>
            <w:r>
              <w:rPr>
                <w:noProof/>
                <w:webHidden/>
              </w:rPr>
              <w:fldChar w:fldCharType="separate"/>
            </w:r>
            <w:r>
              <w:rPr>
                <w:noProof/>
                <w:webHidden/>
              </w:rPr>
              <w:t>31</w:t>
            </w:r>
            <w:r>
              <w:rPr>
                <w:noProof/>
                <w:webHidden/>
              </w:rPr>
              <w:fldChar w:fldCharType="end"/>
            </w:r>
          </w:hyperlink>
        </w:p>
        <w:p w14:paraId="7AF9D98B" w14:textId="31F50D77"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03" w:history="1">
            <w:r w:rsidRPr="00FA699C">
              <w:rPr>
                <w:rStyle w:val="Hyperlink"/>
                <w:noProof/>
              </w:rPr>
              <w:t>Q. Battery Energy Storage</w:t>
            </w:r>
            <w:r>
              <w:rPr>
                <w:noProof/>
                <w:webHidden/>
              </w:rPr>
              <w:tab/>
            </w:r>
            <w:r>
              <w:rPr>
                <w:noProof/>
                <w:webHidden/>
              </w:rPr>
              <w:fldChar w:fldCharType="begin"/>
            </w:r>
            <w:r>
              <w:rPr>
                <w:noProof/>
                <w:webHidden/>
              </w:rPr>
              <w:instrText xml:space="preserve"> PAGEREF _Toc187234603 \h </w:instrText>
            </w:r>
            <w:r>
              <w:rPr>
                <w:noProof/>
                <w:webHidden/>
              </w:rPr>
            </w:r>
            <w:r>
              <w:rPr>
                <w:noProof/>
                <w:webHidden/>
              </w:rPr>
              <w:fldChar w:fldCharType="separate"/>
            </w:r>
            <w:r>
              <w:rPr>
                <w:noProof/>
                <w:webHidden/>
              </w:rPr>
              <w:t>31</w:t>
            </w:r>
            <w:r>
              <w:rPr>
                <w:noProof/>
                <w:webHidden/>
              </w:rPr>
              <w:fldChar w:fldCharType="end"/>
            </w:r>
          </w:hyperlink>
        </w:p>
        <w:p w14:paraId="5E1BA14E" w14:textId="69BCADA0"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04" w:history="1">
            <w:r w:rsidRPr="00FA699C">
              <w:rPr>
                <w:rStyle w:val="Hyperlink"/>
                <w:noProof/>
              </w:rPr>
              <w:t>R. Demand Response Resources</w:t>
            </w:r>
            <w:r>
              <w:rPr>
                <w:noProof/>
                <w:webHidden/>
              </w:rPr>
              <w:tab/>
            </w:r>
            <w:r>
              <w:rPr>
                <w:noProof/>
                <w:webHidden/>
              </w:rPr>
              <w:fldChar w:fldCharType="begin"/>
            </w:r>
            <w:r>
              <w:rPr>
                <w:noProof/>
                <w:webHidden/>
              </w:rPr>
              <w:instrText xml:space="preserve"> PAGEREF _Toc187234604 \h </w:instrText>
            </w:r>
            <w:r>
              <w:rPr>
                <w:noProof/>
                <w:webHidden/>
              </w:rPr>
            </w:r>
            <w:r>
              <w:rPr>
                <w:noProof/>
                <w:webHidden/>
              </w:rPr>
              <w:fldChar w:fldCharType="separate"/>
            </w:r>
            <w:r>
              <w:rPr>
                <w:noProof/>
                <w:webHidden/>
              </w:rPr>
              <w:t>31</w:t>
            </w:r>
            <w:r>
              <w:rPr>
                <w:noProof/>
                <w:webHidden/>
              </w:rPr>
              <w:fldChar w:fldCharType="end"/>
            </w:r>
          </w:hyperlink>
        </w:p>
        <w:p w14:paraId="65081842" w14:textId="5157CBE4"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05" w:history="1">
            <w:r w:rsidRPr="00FA699C">
              <w:rPr>
                <w:rStyle w:val="Hyperlink"/>
                <w:noProof/>
              </w:rPr>
              <w:t>S. Renewable Resources</w:t>
            </w:r>
            <w:r>
              <w:rPr>
                <w:noProof/>
                <w:webHidden/>
              </w:rPr>
              <w:tab/>
            </w:r>
            <w:r>
              <w:rPr>
                <w:noProof/>
                <w:webHidden/>
              </w:rPr>
              <w:fldChar w:fldCharType="begin"/>
            </w:r>
            <w:r>
              <w:rPr>
                <w:noProof/>
                <w:webHidden/>
              </w:rPr>
              <w:instrText xml:space="preserve"> PAGEREF _Toc187234605 \h </w:instrText>
            </w:r>
            <w:r>
              <w:rPr>
                <w:noProof/>
                <w:webHidden/>
              </w:rPr>
            </w:r>
            <w:r>
              <w:rPr>
                <w:noProof/>
                <w:webHidden/>
              </w:rPr>
              <w:fldChar w:fldCharType="separate"/>
            </w:r>
            <w:r>
              <w:rPr>
                <w:noProof/>
                <w:webHidden/>
              </w:rPr>
              <w:t>32</w:t>
            </w:r>
            <w:r>
              <w:rPr>
                <w:noProof/>
                <w:webHidden/>
              </w:rPr>
              <w:fldChar w:fldCharType="end"/>
            </w:r>
          </w:hyperlink>
        </w:p>
        <w:p w14:paraId="02977D8A" w14:textId="2786F67A"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06" w:history="1">
            <w:r w:rsidRPr="00FA699C">
              <w:rPr>
                <w:rStyle w:val="Hyperlink"/>
                <w:noProof/>
              </w:rPr>
              <w:t>T. Natural Gas Availability</w:t>
            </w:r>
            <w:r>
              <w:rPr>
                <w:noProof/>
                <w:webHidden/>
              </w:rPr>
              <w:tab/>
            </w:r>
            <w:r>
              <w:rPr>
                <w:noProof/>
                <w:webHidden/>
              </w:rPr>
              <w:fldChar w:fldCharType="begin"/>
            </w:r>
            <w:r>
              <w:rPr>
                <w:noProof/>
                <w:webHidden/>
              </w:rPr>
              <w:instrText xml:space="preserve"> PAGEREF _Toc187234606 \h </w:instrText>
            </w:r>
            <w:r>
              <w:rPr>
                <w:noProof/>
                <w:webHidden/>
              </w:rPr>
            </w:r>
            <w:r>
              <w:rPr>
                <w:noProof/>
                <w:webHidden/>
              </w:rPr>
              <w:fldChar w:fldCharType="separate"/>
            </w:r>
            <w:r>
              <w:rPr>
                <w:noProof/>
                <w:webHidden/>
              </w:rPr>
              <w:t>33</w:t>
            </w:r>
            <w:r>
              <w:rPr>
                <w:noProof/>
                <w:webHidden/>
              </w:rPr>
              <w:fldChar w:fldCharType="end"/>
            </w:r>
          </w:hyperlink>
        </w:p>
        <w:p w14:paraId="08B7B748" w14:textId="6351CBCD"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07" w:history="1">
            <w:r w:rsidRPr="00FA699C">
              <w:rPr>
                <w:rStyle w:val="Hyperlink"/>
                <w:noProof/>
              </w:rPr>
              <w:t>U. Oil Availability</w:t>
            </w:r>
            <w:r>
              <w:rPr>
                <w:noProof/>
                <w:webHidden/>
              </w:rPr>
              <w:tab/>
            </w:r>
            <w:r>
              <w:rPr>
                <w:noProof/>
                <w:webHidden/>
              </w:rPr>
              <w:fldChar w:fldCharType="begin"/>
            </w:r>
            <w:r>
              <w:rPr>
                <w:noProof/>
                <w:webHidden/>
              </w:rPr>
              <w:instrText xml:space="preserve"> PAGEREF _Toc187234607 \h </w:instrText>
            </w:r>
            <w:r>
              <w:rPr>
                <w:noProof/>
                <w:webHidden/>
              </w:rPr>
            </w:r>
            <w:r>
              <w:rPr>
                <w:noProof/>
                <w:webHidden/>
              </w:rPr>
              <w:fldChar w:fldCharType="separate"/>
            </w:r>
            <w:r>
              <w:rPr>
                <w:noProof/>
                <w:webHidden/>
              </w:rPr>
              <w:t>34</w:t>
            </w:r>
            <w:r>
              <w:rPr>
                <w:noProof/>
                <w:webHidden/>
              </w:rPr>
              <w:fldChar w:fldCharType="end"/>
            </w:r>
          </w:hyperlink>
        </w:p>
        <w:p w14:paraId="0AFEF5B7" w14:textId="3F6CE7D6"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08" w:history="1">
            <w:r w:rsidRPr="00FA699C">
              <w:rPr>
                <w:rStyle w:val="Hyperlink"/>
                <w:noProof/>
              </w:rPr>
              <w:t>V. Capacity Cost</w:t>
            </w:r>
            <w:r>
              <w:rPr>
                <w:noProof/>
                <w:webHidden/>
              </w:rPr>
              <w:tab/>
            </w:r>
            <w:r>
              <w:rPr>
                <w:noProof/>
                <w:webHidden/>
              </w:rPr>
              <w:fldChar w:fldCharType="begin"/>
            </w:r>
            <w:r>
              <w:rPr>
                <w:noProof/>
                <w:webHidden/>
              </w:rPr>
              <w:instrText xml:space="preserve"> PAGEREF _Toc187234608 \h </w:instrText>
            </w:r>
            <w:r>
              <w:rPr>
                <w:noProof/>
                <w:webHidden/>
              </w:rPr>
            </w:r>
            <w:r>
              <w:rPr>
                <w:noProof/>
                <w:webHidden/>
              </w:rPr>
              <w:fldChar w:fldCharType="separate"/>
            </w:r>
            <w:r>
              <w:rPr>
                <w:noProof/>
                <w:webHidden/>
              </w:rPr>
              <w:t>35</w:t>
            </w:r>
            <w:r>
              <w:rPr>
                <w:noProof/>
                <w:webHidden/>
              </w:rPr>
              <w:fldChar w:fldCharType="end"/>
            </w:r>
          </w:hyperlink>
        </w:p>
        <w:p w14:paraId="72252C8F" w14:textId="00EE9B84"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09" w:history="1">
            <w:r w:rsidRPr="00FA699C">
              <w:rPr>
                <w:rStyle w:val="Hyperlink"/>
                <w:noProof/>
              </w:rPr>
              <w:t>W. Cost of Expected Unserved Energy</w:t>
            </w:r>
            <w:r>
              <w:rPr>
                <w:noProof/>
                <w:webHidden/>
              </w:rPr>
              <w:tab/>
            </w:r>
            <w:r>
              <w:rPr>
                <w:noProof/>
                <w:webHidden/>
              </w:rPr>
              <w:fldChar w:fldCharType="begin"/>
            </w:r>
            <w:r>
              <w:rPr>
                <w:noProof/>
                <w:webHidden/>
              </w:rPr>
              <w:instrText xml:space="preserve"> PAGEREF _Toc187234609 \h </w:instrText>
            </w:r>
            <w:r>
              <w:rPr>
                <w:noProof/>
                <w:webHidden/>
              </w:rPr>
            </w:r>
            <w:r>
              <w:rPr>
                <w:noProof/>
                <w:webHidden/>
              </w:rPr>
              <w:fldChar w:fldCharType="separate"/>
            </w:r>
            <w:r>
              <w:rPr>
                <w:noProof/>
                <w:webHidden/>
              </w:rPr>
              <w:t>35</w:t>
            </w:r>
            <w:r>
              <w:rPr>
                <w:noProof/>
                <w:webHidden/>
              </w:rPr>
              <w:fldChar w:fldCharType="end"/>
            </w:r>
          </w:hyperlink>
        </w:p>
        <w:p w14:paraId="172B58A6" w14:textId="42050EF2" w:rsidR="00E25CCA" w:rsidRDefault="00E25CCA">
          <w:pPr>
            <w:pStyle w:val="TOC1"/>
            <w:rPr>
              <w:rFonts w:asciiTheme="minorHAnsi" w:eastAsiaTheme="minorEastAsia" w:hAnsiTheme="minorHAnsi" w:cstheme="minorBidi"/>
              <w:noProof/>
              <w:kern w:val="2"/>
              <w:sz w:val="24"/>
              <w:szCs w:val="24"/>
              <w14:ligatures w14:val="standardContextual"/>
            </w:rPr>
          </w:pPr>
          <w:hyperlink w:anchor="_Toc187234610" w:history="1">
            <w:r w:rsidRPr="00FA699C">
              <w:rPr>
                <w:rStyle w:val="Hyperlink"/>
                <w:noProof/>
              </w:rPr>
              <w:t>II. SIMULATION PROCEDURE</w:t>
            </w:r>
            <w:r>
              <w:rPr>
                <w:noProof/>
                <w:webHidden/>
              </w:rPr>
              <w:tab/>
            </w:r>
            <w:r>
              <w:rPr>
                <w:noProof/>
                <w:webHidden/>
              </w:rPr>
              <w:fldChar w:fldCharType="begin"/>
            </w:r>
            <w:r>
              <w:rPr>
                <w:noProof/>
                <w:webHidden/>
              </w:rPr>
              <w:instrText xml:space="preserve"> PAGEREF _Toc187234610 \h </w:instrText>
            </w:r>
            <w:r>
              <w:rPr>
                <w:noProof/>
                <w:webHidden/>
              </w:rPr>
            </w:r>
            <w:r>
              <w:rPr>
                <w:noProof/>
                <w:webHidden/>
              </w:rPr>
              <w:fldChar w:fldCharType="separate"/>
            </w:r>
            <w:r>
              <w:rPr>
                <w:noProof/>
                <w:webHidden/>
              </w:rPr>
              <w:t>37</w:t>
            </w:r>
            <w:r>
              <w:rPr>
                <w:noProof/>
                <w:webHidden/>
              </w:rPr>
              <w:fldChar w:fldCharType="end"/>
            </w:r>
          </w:hyperlink>
        </w:p>
        <w:p w14:paraId="74F49E0F" w14:textId="642E163E"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11" w:history="1">
            <w:r w:rsidRPr="00FA699C">
              <w:rPr>
                <w:rStyle w:val="Hyperlink"/>
                <w:noProof/>
              </w:rPr>
              <w:t>A. Case Specification</w:t>
            </w:r>
            <w:r>
              <w:rPr>
                <w:noProof/>
                <w:webHidden/>
              </w:rPr>
              <w:tab/>
            </w:r>
            <w:r>
              <w:rPr>
                <w:noProof/>
                <w:webHidden/>
              </w:rPr>
              <w:fldChar w:fldCharType="begin"/>
            </w:r>
            <w:r>
              <w:rPr>
                <w:noProof/>
                <w:webHidden/>
              </w:rPr>
              <w:instrText xml:space="preserve"> PAGEREF _Toc187234611 \h </w:instrText>
            </w:r>
            <w:r>
              <w:rPr>
                <w:noProof/>
                <w:webHidden/>
              </w:rPr>
            </w:r>
            <w:r>
              <w:rPr>
                <w:noProof/>
                <w:webHidden/>
              </w:rPr>
              <w:fldChar w:fldCharType="separate"/>
            </w:r>
            <w:r>
              <w:rPr>
                <w:noProof/>
                <w:webHidden/>
              </w:rPr>
              <w:t>37</w:t>
            </w:r>
            <w:r>
              <w:rPr>
                <w:noProof/>
                <w:webHidden/>
              </w:rPr>
              <w:fldChar w:fldCharType="end"/>
            </w:r>
          </w:hyperlink>
        </w:p>
        <w:p w14:paraId="6760A9C5" w14:textId="2A025D01"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12" w:history="1">
            <w:r w:rsidRPr="00FA699C">
              <w:rPr>
                <w:rStyle w:val="Hyperlink"/>
                <w:noProof/>
              </w:rPr>
              <w:t>B. Probabilities of Occurrence for Input Variables</w:t>
            </w:r>
            <w:r>
              <w:rPr>
                <w:noProof/>
                <w:webHidden/>
              </w:rPr>
              <w:tab/>
            </w:r>
            <w:r>
              <w:rPr>
                <w:noProof/>
                <w:webHidden/>
              </w:rPr>
              <w:fldChar w:fldCharType="begin"/>
            </w:r>
            <w:r>
              <w:rPr>
                <w:noProof/>
                <w:webHidden/>
              </w:rPr>
              <w:instrText xml:space="preserve"> PAGEREF _Toc187234612 \h </w:instrText>
            </w:r>
            <w:r>
              <w:rPr>
                <w:noProof/>
                <w:webHidden/>
              </w:rPr>
            </w:r>
            <w:r>
              <w:rPr>
                <w:noProof/>
                <w:webHidden/>
              </w:rPr>
              <w:fldChar w:fldCharType="separate"/>
            </w:r>
            <w:r>
              <w:rPr>
                <w:noProof/>
                <w:webHidden/>
              </w:rPr>
              <w:t>38</w:t>
            </w:r>
            <w:r>
              <w:rPr>
                <w:noProof/>
                <w:webHidden/>
              </w:rPr>
              <w:fldChar w:fldCharType="end"/>
            </w:r>
          </w:hyperlink>
        </w:p>
        <w:p w14:paraId="025DE261" w14:textId="0F1C8A20"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13" w:history="1">
            <w:r w:rsidRPr="00FA699C">
              <w:rPr>
                <w:rStyle w:val="Hyperlink"/>
                <w:noProof/>
              </w:rPr>
              <w:t>C. Reliability Model Simulations</w:t>
            </w:r>
            <w:r>
              <w:rPr>
                <w:noProof/>
                <w:webHidden/>
              </w:rPr>
              <w:tab/>
            </w:r>
            <w:r>
              <w:rPr>
                <w:noProof/>
                <w:webHidden/>
              </w:rPr>
              <w:fldChar w:fldCharType="begin"/>
            </w:r>
            <w:r>
              <w:rPr>
                <w:noProof/>
                <w:webHidden/>
              </w:rPr>
              <w:instrText xml:space="preserve"> PAGEREF _Toc187234613 \h </w:instrText>
            </w:r>
            <w:r>
              <w:rPr>
                <w:noProof/>
                <w:webHidden/>
              </w:rPr>
            </w:r>
            <w:r>
              <w:rPr>
                <w:noProof/>
                <w:webHidden/>
              </w:rPr>
              <w:fldChar w:fldCharType="separate"/>
            </w:r>
            <w:r>
              <w:rPr>
                <w:noProof/>
                <w:webHidden/>
              </w:rPr>
              <w:t>39</w:t>
            </w:r>
            <w:r>
              <w:rPr>
                <w:noProof/>
                <w:webHidden/>
              </w:rPr>
              <w:fldChar w:fldCharType="end"/>
            </w:r>
          </w:hyperlink>
        </w:p>
        <w:p w14:paraId="66C267B8" w14:textId="757D045C" w:rsidR="00E25CCA" w:rsidRDefault="00E25CCA">
          <w:pPr>
            <w:pStyle w:val="TOC1"/>
            <w:rPr>
              <w:rFonts w:asciiTheme="minorHAnsi" w:eastAsiaTheme="minorEastAsia" w:hAnsiTheme="minorHAnsi" w:cstheme="minorBidi"/>
              <w:noProof/>
              <w:kern w:val="2"/>
              <w:sz w:val="24"/>
              <w:szCs w:val="24"/>
              <w14:ligatures w14:val="standardContextual"/>
            </w:rPr>
          </w:pPr>
          <w:hyperlink w:anchor="_Toc187234614" w:history="1">
            <w:r w:rsidRPr="00FA699C">
              <w:rPr>
                <w:rStyle w:val="Hyperlink"/>
                <w:noProof/>
              </w:rPr>
              <w:t>III. BASE CASE RESULTS</w:t>
            </w:r>
            <w:r>
              <w:rPr>
                <w:noProof/>
                <w:webHidden/>
              </w:rPr>
              <w:tab/>
            </w:r>
            <w:r>
              <w:rPr>
                <w:noProof/>
                <w:webHidden/>
              </w:rPr>
              <w:fldChar w:fldCharType="begin"/>
            </w:r>
            <w:r>
              <w:rPr>
                <w:noProof/>
                <w:webHidden/>
              </w:rPr>
              <w:instrText xml:space="preserve"> PAGEREF _Toc187234614 \h </w:instrText>
            </w:r>
            <w:r>
              <w:rPr>
                <w:noProof/>
                <w:webHidden/>
              </w:rPr>
            </w:r>
            <w:r>
              <w:rPr>
                <w:noProof/>
                <w:webHidden/>
              </w:rPr>
              <w:fldChar w:fldCharType="separate"/>
            </w:r>
            <w:r>
              <w:rPr>
                <w:noProof/>
                <w:webHidden/>
              </w:rPr>
              <w:t>44</w:t>
            </w:r>
            <w:r>
              <w:rPr>
                <w:noProof/>
                <w:webHidden/>
              </w:rPr>
              <w:fldChar w:fldCharType="end"/>
            </w:r>
          </w:hyperlink>
        </w:p>
        <w:p w14:paraId="4B11FECC" w14:textId="2268CC85"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15" w:history="1">
            <w:r w:rsidRPr="00FA699C">
              <w:rPr>
                <w:rStyle w:val="Hyperlink"/>
                <w:noProof/>
              </w:rPr>
              <w:t>A. Winter Study Results</w:t>
            </w:r>
            <w:r>
              <w:rPr>
                <w:noProof/>
                <w:webHidden/>
              </w:rPr>
              <w:tab/>
            </w:r>
            <w:r>
              <w:rPr>
                <w:noProof/>
                <w:webHidden/>
              </w:rPr>
              <w:fldChar w:fldCharType="begin"/>
            </w:r>
            <w:r>
              <w:rPr>
                <w:noProof/>
                <w:webHidden/>
              </w:rPr>
              <w:instrText xml:space="preserve"> PAGEREF _Toc187234615 \h </w:instrText>
            </w:r>
            <w:r>
              <w:rPr>
                <w:noProof/>
                <w:webHidden/>
              </w:rPr>
            </w:r>
            <w:r>
              <w:rPr>
                <w:noProof/>
                <w:webHidden/>
              </w:rPr>
              <w:fldChar w:fldCharType="separate"/>
            </w:r>
            <w:r>
              <w:rPr>
                <w:noProof/>
                <w:webHidden/>
              </w:rPr>
              <w:t>44</w:t>
            </w:r>
            <w:r>
              <w:rPr>
                <w:noProof/>
                <w:webHidden/>
              </w:rPr>
              <w:fldChar w:fldCharType="end"/>
            </w:r>
          </w:hyperlink>
        </w:p>
        <w:p w14:paraId="0C68B9BF" w14:textId="67303D04"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16" w:history="1">
            <w:r w:rsidRPr="00FA699C">
              <w:rPr>
                <w:rStyle w:val="Hyperlink"/>
                <w:noProof/>
              </w:rPr>
              <w:t>B. Summer-Only Reserve Margin Results</w:t>
            </w:r>
            <w:r>
              <w:rPr>
                <w:noProof/>
                <w:webHidden/>
              </w:rPr>
              <w:tab/>
            </w:r>
            <w:r>
              <w:rPr>
                <w:noProof/>
                <w:webHidden/>
              </w:rPr>
              <w:fldChar w:fldCharType="begin"/>
            </w:r>
            <w:r>
              <w:rPr>
                <w:noProof/>
                <w:webHidden/>
              </w:rPr>
              <w:instrText xml:space="preserve"> PAGEREF _Toc187234616 \h </w:instrText>
            </w:r>
            <w:r>
              <w:rPr>
                <w:noProof/>
                <w:webHidden/>
              </w:rPr>
            </w:r>
            <w:r>
              <w:rPr>
                <w:noProof/>
                <w:webHidden/>
              </w:rPr>
              <w:fldChar w:fldCharType="separate"/>
            </w:r>
            <w:r>
              <w:rPr>
                <w:noProof/>
                <w:webHidden/>
              </w:rPr>
              <w:t>46</w:t>
            </w:r>
            <w:r>
              <w:rPr>
                <w:noProof/>
                <w:webHidden/>
              </w:rPr>
              <w:fldChar w:fldCharType="end"/>
            </w:r>
          </w:hyperlink>
        </w:p>
        <w:p w14:paraId="28AA7B80" w14:textId="38A6BD79"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17" w:history="1">
            <w:r w:rsidRPr="00FA699C">
              <w:rPr>
                <w:rStyle w:val="Hyperlink"/>
                <w:noProof/>
              </w:rPr>
              <w:t>C. Risk Analysis</w:t>
            </w:r>
            <w:r>
              <w:rPr>
                <w:noProof/>
                <w:webHidden/>
              </w:rPr>
              <w:tab/>
            </w:r>
            <w:r>
              <w:rPr>
                <w:noProof/>
                <w:webHidden/>
              </w:rPr>
              <w:fldChar w:fldCharType="begin"/>
            </w:r>
            <w:r>
              <w:rPr>
                <w:noProof/>
                <w:webHidden/>
              </w:rPr>
              <w:instrText xml:space="preserve"> PAGEREF _Toc187234617 \h </w:instrText>
            </w:r>
            <w:r>
              <w:rPr>
                <w:noProof/>
                <w:webHidden/>
              </w:rPr>
            </w:r>
            <w:r>
              <w:rPr>
                <w:noProof/>
                <w:webHidden/>
              </w:rPr>
              <w:fldChar w:fldCharType="separate"/>
            </w:r>
            <w:r>
              <w:rPr>
                <w:noProof/>
                <w:webHidden/>
              </w:rPr>
              <w:t>48</w:t>
            </w:r>
            <w:r>
              <w:rPr>
                <w:noProof/>
                <w:webHidden/>
              </w:rPr>
              <w:fldChar w:fldCharType="end"/>
            </w:r>
          </w:hyperlink>
        </w:p>
        <w:p w14:paraId="2F50B04C" w14:textId="64D06582"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18" w:history="1">
            <w:r w:rsidRPr="00FA699C">
              <w:rPr>
                <w:rStyle w:val="Hyperlink"/>
                <w:noProof/>
              </w:rPr>
              <w:t>D. Loss of Load Expectation</w:t>
            </w:r>
            <w:r>
              <w:rPr>
                <w:noProof/>
                <w:webHidden/>
              </w:rPr>
              <w:tab/>
            </w:r>
            <w:r>
              <w:rPr>
                <w:noProof/>
                <w:webHidden/>
              </w:rPr>
              <w:fldChar w:fldCharType="begin"/>
            </w:r>
            <w:r>
              <w:rPr>
                <w:noProof/>
                <w:webHidden/>
              </w:rPr>
              <w:instrText xml:space="preserve"> PAGEREF _Toc187234618 \h </w:instrText>
            </w:r>
            <w:r>
              <w:rPr>
                <w:noProof/>
                <w:webHidden/>
              </w:rPr>
            </w:r>
            <w:r>
              <w:rPr>
                <w:noProof/>
                <w:webHidden/>
              </w:rPr>
              <w:fldChar w:fldCharType="separate"/>
            </w:r>
            <w:r>
              <w:rPr>
                <w:noProof/>
                <w:webHidden/>
              </w:rPr>
              <w:t>53</w:t>
            </w:r>
            <w:r>
              <w:rPr>
                <w:noProof/>
                <w:webHidden/>
              </w:rPr>
              <w:fldChar w:fldCharType="end"/>
            </w:r>
          </w:hyperlink>
        </w:p>
        <w:p w14:paraId="4588226F" w14:textId="1FEB8A88"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19" w:history="1">
            <w:r w:rsidRPr="00FA699C">
              <w:rPr>
                <w:rStyle w:val="Hyperlink"/>
                <w:noProof/>
              </w:rPr>
              <w:t>E. Total System Cost Components</w:t>
            </w:r>
            <w:r>
              <w:rPr>
                <w:noProof/>
                <w:webHidden/>
              </w:rPr>
              <w:tab/>
            </w:r>
            <w:r>
              <w:rPr>
                <w:noProof/>
                <w:webHidden/>
              </w:rPr>
              <w:fldChar w:fldCharType="begin"/>
            </w:r>
            <w:r>
              <w:rPr>
                <w:noProof/>
                <w:webHidden/>
              </w:rPr>
              <w:instrText xml:space="preserve"> PAGEREF _Toc187234619 \h </w:instrText>
            </w:r>
            <w:r>
              <w:rPr>
                <w:noProof/>
                <w:webHidden/>
              </w:rPr>
            </w:r>
            <w:r>
              <w:rPr>
                <w:noProof/>
                <w:webHidden/>
              </w:rPr>
              <w:fldChar w:fldCharType="separate"/>
            </w:r>
            <w:r>
              <w:rPr>
                <w:noProof/>
                <w:webHidden/>
              </w:rPr>
              <w:t>57</w:t>
            </w:r>
            <w:r>
              <w:rPr>
                <w:noProof/>
                <w:webHidden/>
              </w:rPr>
              <w:fldChar w:fldCharType="end"/>
            </w:r>
          </w:hyperlink>
        </w:p>
        <w:p w14:paraId="129DD977" w14:textId="0E2B33C6"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20" w:history="1">
            <w:r w:rsidRPr="00FA699C">
              <w:rPr>
                <w:rStyle w:val="Hyperlink"/>
                <w:noProof/>
              </w:rPr>
              <w:t>F. Components of the Winter Target Reserve Margin</w:t>
            </w:r>
            <w:r>
              <w:rPr>
                <w:noProof/>
                <w:webHidden/>
              </w:rPr>
              <w:tab/>
            </w:r>
            <w:r>
              <w:rPr>
                <w:noProof/>
                <w:webHidden/>
              </w:rPr>
              <w:fldChar w:fldCharType="begin"/>
            </w:r>
            <w:r>
              <w:rPr>
                <w:noProof/>
                <w:webHidden/>
              </w:rPr>
              <w:instrText xml:space="preserve"> PAGEREF _Toc187234620 \h </w:instrText>
            </w:r>
            <w:r>
              <w:rPr>
                <w:noProof/>
                <w:webHidden/>
              </w:rPr>
            </w:r>
            <w:r>
              <w:rPr>
                <w:noProof/>
                <w:webHidden/>
              </w:rPr>
              <w:fldChar w:fldCharType="separate"/>
            </w:r>
            <w:r>
              <w:rPr>
                <w:noProof/>
                <w:webHidden/>
              </w:rPr>
              <w:t>61</w:t>
            </w:r>
            <w:r>
              <w:rPr>
                <w:noProof/>
                <w:webHidden/>
              </w:rPr>
              <w:fldChar w:fldCharType="end"/>
            </w:r>
          </w:hyperlink>
        </w:p>
        <w:p w14:paraId="4CAC553D" w14:textId="684952AA" w:rsidR="00E25CCA" w:rsidRDefault="00E25CCA">
          <w:pPr>
            <w:pStyle w:val="TOC1"/>
            <w:rPr>
              <w:rFonts w:asciiTheme="minorHAnsi" w:eastAsiaTheme="minorEastAsia" w:hAnsiTheme="minorHAnsi" w:cstheme="minorBidi"/>
              <w:noProof/>
              <w:kern w:val="2"/>
              <w:sz w:val="24"/>
              <w:szCs w:val="24"/>
              <w14:ligatures w14:val="standardContextual"/>
            </w:rPr>
          </w:pPr>
          <w:hyperlink w:anchor="_Toc187234621" w:history="1">
            <w:r w:rsidRPr="00FA699C">
              <w:rPr>
                <w:rStyle w:val="Hyperlink"/>
                <w:noProof/>
              </w:rPr>
              <w:t>IV. SENSITIVITY ANALYSES</w:t>
            </w:r>
            <w:r>
              <w:rPr>
                <w:noProof/>
                <w:webHidden/>
              </w:rPr>
              <w:tab/>
            </w:r>
            <w:r>
              <w:rPr>
                <w:noProof/>
                <w:webHidden/>
              </w:rPr>
              <w:fldChar w:fldCharType="begin"/>
            </w:r>
            <w:r>
              <w:rPr>
                <w:noProof/>
                <w:webHidden/>
              </w:rPr>
              <w:instrText xml:space="preserve"> PAGEREF _Toc187234621 \h </w:instrText>
            </w:r>
            <w:r>
              <w:rPr>
                <w:noProof/>
                <w:webHidden/>
              </w:rPr>
            </w:r>
            <w:r>
              <w:rPr>
                <w:noProof/>
                <w:webHidden/>
              </w:rPr>
              <w:fldChar w:fldCharType="separate"/>
            </w:r>
            <w:r>
              <w:rPr>
                <w:noProof/>
                <w:webHidden/>
              </w:rPr>
              <w:t>63</w:t>
            </w:r>
            <w:r>
              <w:rPr>
                <w:noProof/>
                <w:webHidden/>
              </w:rPr>
              <w:fldChar w:fldCharType="end"/>
            </w:r>
          </w:hyperlink>
        </w:p>
        <w:p w14:paraId="0A4EE90B" w14:textId="78A7A0AB"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22" w:history="1">
            <w:r w:rsidRPr="00FA699C">
              <w:rPr>
                <w:rStyle w:val="Hyperlink"/>
                <w:noProof/>
              </w:rPr>
              <w:t>A. Capacity Price</w:t>
            </w:r>
            <w:r>
              <w:rPr>
                <w:noProof/>
                <w:webHidden/>
              </w:rPr>
              <w:tab/>
            </w:r>
            <w:r>
              <w:rPr>
                <w:noProof/>
                <w:webHidden/>
              </w:rPr>
              <w:fldChar w:fldCharType="begin"/>
            </w:r>
            <w:r>
              <w:rPr>
                <w:noProof/>
                <w:webHidden/>
              </w:rPr>
              <w:instrText xml:space="preserve"> PAGEREF _Toc187234622 \h </w:instrText>
            </w:r>
            <w:r>
              <w:rPr>
                <w:noProof/>
                <w:webHidden/>
              </w:rPr>
            </w:r>
            <w:r>
              <w:rPr>
                <w:noProof/>
                <w:webHidden/>
              </w:rPr>
              <w:fldChar w:fldCharType="separate"/>
            </w:r>
            <w:r>
              <w:rPr>
                <w:noProof/>
                <w:webHidden/>
              </w:rPr>
              <w:t>63</w:t>
            </w:r>
            <w:r>
              <w:rPr>
                <w:noProof/>
                <w:webHidden/>
              </w:rPr>
              <w:fldChar w:fldCharType="end"/>
            </w:r>
          </w:hyperlink>
        </w:p>
        <w:p w14:paraId="104F0358" w14:textId="79768802"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23" w:history="1">
            <w:r w:rsidRPr="00FA699C">
              <w:rPr>
                <w:rStyle w:val="Hyperlink"/>
                <w:noProof/>
              </w:rPr>
              <w:t>B. Cost of EUE</w:t>
            </w:r>
            <w:r>
              <w:rPr>
                <w:noProof/>
                <w:webHidden/>
              </w:rPr>
              <w:tab/>
            </w:r>
            <w:r>
              <w:rPr>
                <w:noProof/>
                <w:webHidden/>
              </w:rPr>
              <w:fldChar w:fldCharType="begin"/>
            </w:r>
            <w:r>
              <w:rPr>
                <w:noProof/>
                <w:webHidden/>
              </w:rPr>
              <w:instrText xml:space="preserve"> PAGEREF _Toc187234623 \h </w:instrText>
            </w:r>
            <w:r>
              <w:rPr>
                <w:noProof/>
                <w:webHidden/>
              </w:rPr>
            </w:r>
            <w:r>
              <w:rPr>
                <w:noProof/>
                <w:webHidden/>
              </w:rPr>
              <w:fldChar w:fldCharType="separate"/>
            </w:r>
            <w:r>
              <w:rPr>
                <w:noProof/>
                <w:webHidden/>
              </w:rPr>
              <w:t>64</w:t>
            </w:r>
            <w:r>
              <w:rPr>
                <w:noProof/>
                <w:webHidden/>
              </w:rPr>
              <w:fldChar w:fldCharType="end"/>
            </w:r>
          </w:hyperlink>
        </w:p>
        <w:p w14:paraId="42401139" w14:textId="5892E4C6"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24" w:history="1">
            <w:r w:rsidRPr="00FA699C">
              <w:rPr>
                <w:rStyle w:val="Hyperlink"/>
                <w:noProof/>
              </w:rPr>
              <w:t>C. Cold Weather Outages</w:t>
            </w:r>
            <w:r>
              <w:rPr>
                <w:noProof/>
                <w:webHidden/>
              </w:rPr>
              <w:tab/>
            </w:r>
            <w:r>
              <w:rPr>
                <w:noProof/>
                <w:webHidden/>
              </w:rPr>
              <w:fldChar w:fldCharType="begin"/>
            </w:r>
            <w:r>
              <w:rPr>
                <w:noProof/>
                <w:webHidden/>
              </w:rPr>
              <w:instrText xml:space="preserve"> PAGEREF _Toc187234624 \h </w:instrText>
            </w:r>
            <w:r>
              <w:rPr>
                <w:noProof/>
                <w:webHidden/>
              </w:rPr>
            </w:r>
            <w:r>
              <w:rPr>
                <w:noProof/>
                <w:webHidden/>
              </w:rPr>
              <w:fldChar w:fldCharType="separate"/>
            </w:r>
            <w:r>
              <w:rPr>
                <w:noProof/>
                <w:webHidden/>
              </w:rPr>
              <w:t>65</w:t>
            </w:r>
            <w:r>
              <w:rPr>
                <w:noProof/>
                <w:webHidden/>
              </w:rPr>
              <w:fldChar w:fldCharType="end"/>
            </w:r>
          </w:hyperlink>
        </w:p>
        <w:p w14:paraId="2EE191C6" w14:textId="4C27544D"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25" w:history="1">
            <w:r w:rsidRPr="00FA699C">
              <w:rPr>
                <w:rStyle w:val="Hyperlink"/>
                <w:noProof/>
              </w:rPr>
              <w:t>D. 50% Reduced Transmission</w:t>
            </w:r>
            <w:r>
              <w:rPr>
                <w:noProof/>
                <w:webHidden/>
              </w:rPr>
              <w:tab/>
            </w:r>
            <w:r>
              <w:rPr>
                <w:noProof/>
                <w:webHidden/>
              </w:rPr>
              <w:fldChar w:fldCharType="begin"/>
            </w:r>
            <w:r>
              <w:rPr>
                <w:noProof/>
                <w:webHidden/>
              </w:rPr>
              <w:instrText xml:space="preserve"> PAGEREF _Toc187234625 \h </w:instrText>
            </w:r>
            <w:r>
              <w:rPr>
                <w:noProof/>
                <w:webHidden/>
              </w:rPr>
            </w:r>
            <w:r>
              <w:rPr>
                <w:noProof/>
                <w:webHidden/>
              </w:rPr>
              <w:fldChar w:fldCharType="separate"/>
            </w:r>
            <w:r>
              <w:rPr>
                <w:noProof/>
                <w:webHidden/>
              </w:rPr>
              <w:t>66</w:t>
            </w:r>
            <w:r>
              <w:rPr>
                <w:noProof/>
                <w:webHidden/>
              </w:rPr>
              <w:fldChar w:fldCharType="end"/>
            </w:r>
          </w:hyperlink>
        </w:p>
        <w:p w14:paraId="1EA21925" w14:textId="35A147E5"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26" w:history="1">
            <w:r w:rsidRPr="00FA699C">
              <w:rPr>
                <w:rStyle w:val="Hyperlink"/>
                <w:noProof/>
              </w:rPr>
              <w:t>E. Unlimited Transmission</w:t>
            </w:r>
            <w:r>
              <w:rPr>
                <w:noProof/>
                <w:webHidden/>
              </w:rPr>
              <w:tab/>
            </w:r>
            <w:r>
              <w:rPr>
                <w:noProof/>
                <w:webHidden/>
              </w:rPr>
              <w:fldChar w:fldCharType="begin"/>
            </w:r>
            <w:r>
              <w:rPr>
                <w:noProof/>
                <w:webHidden/>
              </w:rPr>
              <w:instrText xml:space="preserve"> PAGEREF _Toc187234626 \h </w:instrText>
            </w:r>
            <w:r>
              <w:rPr>
                <w:noProof/>
                <w:webHidden/>
              </w:rPr>
            </w:r>
            <w:r>
              <w:rPr>
                <w:noProof/>
                <w:webHidden/>
              </w:rPr>
              <w:fldChar w:fldCharType="separate"/>
            </w:r>
            <w:r>
              <w:rPr>
                <w:noProof/>
                <w:webHidden/>
              </w:rPr>
              <w:t>66</w:t>
            </w:r>
            <w:r>
              <w:rPr>
                <w:noProof/>
                <w:webHidden/>
              </w:rPr>
              <w:fldChar w:fldCharType="end"/>
            </w:r>
          </w:hyperlink>
        </w:p>
        <w:p w14:paraId="4BAB6D78" w14:textId="15A8879E"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27" w:history="1">
            <w:r w:rsidRPr="00FA699C">
              <w:rPr>
                <w:rStyle w:val="Hyperlink"/>
                <w:noProof/>
              </w:rPr>
              <w:t>F. 50% Higher Base EFOR</w:t>
            </w:r>
            <w:r>
              <w:rPr>
                <w:noProof/>
                <w:webHidden/>
              </w:rPr>
              <w:tab/>
            </w:r>
            <w:r>
              <w:rPr>
                <w:noProof/>
                <w:webHidden/>
              </w:rPr>
              <w:fldChar w:fldCharType="begin"/>
            </w:r>
            <w:r>
              <w:rPr>
                <w:noProof/>
                <w:webHidden/>
              </w:rPr>
              <w:instrText xml:space="preserve"> PAGEREF _Toc187234627 \h </w:instrText>
            </w:r>
            <w:r>
              <w:rPr>
                <w:noProof/>
                <w:webHidden/>
              </w:rPr>
            </w:r>
            <w:r>
              <w:rPr>
                <w:noProof/>
                <w:webHidden/>
              </w:rPr>
              <w:fldChar w:fldCharType="separate"/>
            </w:r>
            <w:r>
              <w:rPr>
                <w:noProof/>
                <w:webHidden/>
              </w:rPr>
              <w:t>66</w:t>
            </w:r>
            <w:r>
              <w:rPr>
                <w:noProof/>
                <w:webHidden/>
              </w:rPr>
              <w:fldChar w:fldCharType="end"/>
            </w:r>
          </w:hyperlink>
        </w:p>
        <w:p w14:paraId="0A9363F2" w14:textId="2BD55B21"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28" w:history="1">
            <w:r w:rsidRPr="00FA699C">
              <w:rPr>
                <w:rStyle w:val="Hyperlink"/>
                <w:noProof/>
              </w:rPr>
              <w:t>G. Unlimited Natural Gas</w:t>
            </w:r>
            <w:r>
              <w:rPr>
                <w:noProof/>
                <w:webHidden/>
              </w:rPr>
              <w:tab/>
            </w:r>
            <w:r>
              <w:rPr>
                <w:noProof/>
                <w:webHidden/>
              </w:rPr>
              <w:fldChar w:fldCharType="begin"/>
            </w:r>
            <w:r>
              <w:rPr>
                <w:noProof/>
                <w:webHidden/>
              </w:rPr>
              <w:instrText xml:space="preserve"> PAGEREF _Toc187234628 \h </w:instrText>
            </w:r>
            <w:r>
              <w:rPr>
                <w:noProof/>
                <w:webHidden/>
              </w:rPr>
            </w:r>
            <w:r>
              <w:rPr>
                <w:noProof/>
                <w:webHidden/>
              </w:rPr>
              <w:fldChar w:fldCharType="separate"/>
            </w:r>
            <w:r>
              <w:rPr>
                <w:noProof/>
                <w:webHidden/>
              </w:rPr>
              <w:t>66</w:t>
            </w:r>
            <w:r>
              <w:rPr>
                <w:noProof/>
                <w:webHidden/>
              </w:rPr>
              <w:fldChar w:fldCharType="end"/>
            </w:r>
          </w:hyperlink>
        </w:p>
        <w:p w14:paraId="536DFC1A" w14:textId="7B2E5495"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29" w:history="1">
            <w:r w:rsidRPr="00FA699C">
              <w:rPr>
                <w:rStyle w:val="Hyperlink"/>
                <w:noProof/>
              </w:rPr>
              <w:t>H. Islanded System</w:t>
            </w:r>
            <w:r>
              <w:rPr>
                <w:noProof/>
                <w:webHidden/>
              </w:rPr>
              <w:tab/>
            </w:r>
            <w:r>
              <w:rPr>
                <w:noProof/>
                <w:webHidden/>
              </w:rPr>
              <w:fldChar w:fldCharType="begin"/>
            </w:r>
            <w:r>
              <w:rPr>
                <w:noProof/>
                <w:webHidden/>
              </w:rPr>
              <w:instrText xml:space="preserve"> PAGEREF _Toc187234629 \h </w:instrText>
            </w:r>
            <w:r>
              <w:rPr>
                <w:noProof/>
                <w:webHidden/>
              </w:rPr>
            </w:r>
            <w:r>
              <w:rPr>
                <w:noProof/>
                <w:webHidden/>
              </w:rPr>
              <w:fldChar w:fldCharType="separate"/>
            </w:r>
            <w:r>
              <w:rPr>
                <w:noProof/>
                <w:webHidden/>
              </w:rPr>
              <w:t>66</w:t>
            </w:r>
            <w:r>
              <w:rPr>
                <w:noProof/>
                <w:webHidden/>
              </w:rPr>
              <w:fldChar w:fldCharType="end"/>
            </w:r>
          </w:hyperlink>
        </w:p>
        <w:p w14:paraId="3D6D4C55" w14:textId="711FBBC0"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30" w:history="1">
            <w:r w:rsidRPr="00FA699C">
              <w:rPr>
                <w:rStyle w:val="Hyperlink"/>
                <w:noProof/>
              </w:rPr>
              <w:t>I. Maximum Weather Years</w:t>
            </w:r>
            <w:r>
              <w:rPr>
                <w:noProof/>
                <w:webHidden/>
              </w:rPr>
              <w:tab/>
            </w:r>
            <w:r>
              <w:rPr>
                <w:noProof/>
                <w:webHidden/>
              </w:rPr>
              <w:fldChar w:fldCharType="begin"/>
            </w:r>
            <w:r>
              <w:rPr>
                <w:noProof/>
                <w:webHidden/>
              </w:rPr>
              <w:instrText xml:space="preserve"> PAGEREF _Toc187234630 \h </w:instrText>
            </w:r>
            <w:r>
              <w:rPr>
                <w:noProof/>
                <w:webHidden/>
              </w:rPr>
            </w:r>
            <w:r>
              <w:rPr>
                <w:noProof/>
                <w:webHidden/>
              </w:rPr>
              <w:fldChar w:fldCharType="separate"/>
            </w:r>
            <w:r>
              <w:rPr>
                <w:noProof/>
                <w:webHidden/>
              </w:rPr>
              <w:t>67</w:t>
            </w:r>
            <w:r>
              <w:rPr>
                <w:noProof/>
                <w:webHidden/>
              </w:rPr>
              <w:fldChar w:fldCharType="end"/>
            </w:r>
          </w:hyperlink>
        </w:p>
        <w:p w14:paraId="25163F62" w14:textId="49F09FB2"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31" w:history="1">
            <w:r w:rsidRPr="00FA699C">
              <w:rPr>
                <w:rStyle w:val="Hyperlink"/>
                <w:noProof/>
              </w:rPr>
              <w:t>Summary of Sensitivity Analysis</w:t>
            </w:r>
            <w:r>
              <w:rPr>
                <w:noProof/>
                <w:webHidden/>
              </w:rPr>
              <w:tab/>
            </w:r>
            <w:r>
              <w:rPr>
                <w:noProof/>
                <w:webHidden/>
              </w:rPr>
              <w:fldChar w:fldCharType="begin"/>
            </w:r>
            <w:r>
              <w:rPr>
                <w:noProof/>
                <w:webHidden/>
              </w:rPr>
              <w:instrText xml:space="preserve"> PAGEREF _Toc187234631 \h </w:instrText>
            </w:r>
            <w:r>
              <w:rPr>
                <w:noProof/>
                <w:webHidden/>
              </w:rPr>
            </w:r>
            <w:r>
              <w:rPr>
                <w:noProof/>
                <w:webHidden/>
              </w:rPr>
              <w:fldChar w:fldCharType="separate"/>
            </w:r>
            <w:r>
              <w:rPr>
                <w:noProof/>
                <w:webHidden/>
              </w:rPr>
              <w:t>67</w:t>
            </w:r>
            <w:r>
              <w:rPr>
                <w:noProof/>
                <w:webHidden/>
              </w:rPr>
              <w:fldChar w:fldCharType="end"/>
            </w:r>
          </w:hyperlink>
        </w:p>
        <w:p w14:paraId="618A58A8" w14:textId="24EB27C7"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32" w:history="1">
            <w:r w:rsidRPr="00FA699C">
              <w:rPr>
                <w:rStyle w:val="Hyperlink"/>
                <w:noProof/>
              </w:rPr>
              <w:t>Short-Term Load forecast error</w:t>
            </w:r>
            <w:r>
              <w:rPr>
                <w:noProof/>
                <w:webHidden/>
              </w:rPr>
              <w:tab/>
            </w:r>
            <w:r>
              <w:rPr>
                <w:noProof/>
                <w:webHidden/>
              </w:rPr>
              <w:fldChar w:fldCharType="begin"/>
            </w:r>
            <w:r>
              <w:rPr>
                <w:noProof/>
                <w:webHidden/>
              </w:rPr>
              <w:instrText xml:space="preserve"> PAGEREF _Toc187234632 \h </w:instrText>
            </w:r>
            <w:r>
              <w:rPr>
                <w:noProof/>
                <w:webHidden/>
              </w:rPr>
            </w:r>
            <w:r>
              <w:rPr>
                <w:noProof/>
                <w:webHidden/>
              </w:rPr>
              <w:fldChar w:fldCharType="separate"/>
            </w:r>
            <w:r>
              <w:rPr>
                <w:noProof/>
                <w:webHidden/>
              </w:rPr>
              <w:t>70</w:t>
            </w:r>
            <w:r>
              <w:rPr>
                <w:noProof/>
                <w:webHidden/>
              </w:rPr>
              <w:fldChar w:fldCharType="end"/>
            </w:r>
          </w:hyperlink>
        </w:p>
        <w:p w14:paraId="13781EDE" w14:textId="72CF49B6" w:rsidR="00E25CCA" w:rsidRDefault="00E25CCA">
          <w:pPr>
            <w:pStyle w:val="TOC1"/>
            <w:rPr>
              <w:rFonts w:asciiTheme="minorHAnsi" w:eastAsiaTheme="minorEastAsia" w:hAnsiTheme="minorHAnsi" w:cstheme="minorBidi"/>
              <w:noProof/>
              <w:kern w:val="2"/>
              <w:sz w:val="24"/>
              <w:szCs w:val="24"/>
              <w14:ligatures w14:val="standardContextual"/>
            </w:rPr>
          </w:pPr>
          <w:hyperlink w:anchor="_Toc187234633" w:history="1">
            <w:r w:rsidRPr="00FA699C">
              <w:rPr>
                <w:rStyle w:val="Hyperlink"/>
                <w:noProof/>
              </w:rPr>
              <w:t>V. CONCLUSION</w:t>
            </w:r>
            <w:r>
              <w:rPr>
                <w:noProof/>
                <w:webHidden/>
              </w:rPr>
              <w:tab/>
            </w:r>
            <w:r>
              <w:rPr>
                <w:noProof/>
                <w:webHidden/>
              </w:rPr>
              <w:fldChar w:fldCharType="begin"/>
            </w:r>
            <w:r>
              <w:rPr>
                <w:noProof/>
                <w:webHidden/>
              </w:rPr>
              <w:instrText xml:space="preserve"> PAGEREF _Toc187234633 \h </w:instrText>
            </w:r>
            <w:r>
              <w:rPr>
                <w:noProof/>
                <w:webHidden/>
              </w:rPr>
            </w:r>
            <w:r>
              <w:rPr>
                <w:noProof/>
                <w:webHidden/>
              </w:rPr>
              <w:fldChar w:fldCharType="separate"/>
            </w:r>
            <w:r>
              <w:rPr>
                <w:noProof/>
                <w:webHidden/>
              </w:rPr>
              <w:t>71</w:t>
            </w:r>
            <w:r>
              <w:rPr>
                <w:noProof/>
                <w:webHidden/>
              </w:rPr>
              <w:fldChar w:fldCharType="end"/>
            </w:r>
          </w:hyperlink>
        </w:p>
        <w:p w14:paraId="0244EB77" w14:textId="2E558C30"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34" w:history="1">
            <w:r w:rsidRPr="00FA699C">
              <w:rPr>
                <w:rStyle w:val="Hyperlink"/>
                <w:noProof/>
              </w:rPr>
              <w:t>Winter Target Reserve Margin</w:t>
            </w:r>
            <w:r>
              <w:rPr>
                <w:noProof/>
                <w:webHidden/>
              </w:rPr>
              <w:tab/>
            </w:r>
            <w:r>
              <w:rPr>
                <w:noProof/>
                <w:webHidden/>
              </w:rPr>
              <w:fldChar w:fldCharType="begin"/>
            </w:r>
            <w:r>
              <w:rPr>
                <w:noProof/>
                <w:webHidden/>
              </w:rPr>
              <w:instrText xml:space="preserve"> PAGEREF _Toc187234634 \h </w:instrText>
            </w:r>
            <w:r>
              <w:rPr>
                <w:noProof/>
                <w:webHidden/>
              </w:rPr>
            </w:r>
            <w:r>
              <w:rPr>
                <w:noProof/>
                <w:webHidden/>
              </w:rPr>
              <w:fldChar w:fldCharType="separate"/>
            </w:r>
            <w:r>
              <w:rPr>
                <w:noProof/>
                <w:webHidden/>
              </w:rPr>
              <w:t>71</w:t>
            </w:r>
            <w:r>
              <w:rPr>
                <w:noProof/>
                <w:webHidden/>
              </w:rPr>
              <w:fldChar w:fldCharType="end"/>
            </w:r>
          </w:hyperlink>
        </w:p>
        <w:p w14:paraId="2909EC47" w14:textId="437433E5" w:rsidR="00E25CCA" w:rsidRDefault="00E25CCA">
          <w:pPr>
            <w:pStyle w:val="TOC2"/>
            <w:rPr>
              <w:rFonts w:asciiTheme="minorHAnsi" w:eastAsiaTheme="minorEastAsia" w:hAnsiTheme="minorHAnsi" w:cstheme="minorBidi"/>
              <w:noProof/>
              <w:kern w:val="2"/>
              <w:sz w:val="24"/>
              <w:szCs w:val="24"/>
              <w14:ligatures w14:val="standardContextual"/>
            </w:rPr>
          </w:pPr>
          <w:hyperlink w:anchor="_Toc187234635" w:history="1">
            <w:r w:rsidRPr="00FA699C">
              <w:rPr>
                <w:rStyle w:val="Hyperlink"/>
                <w:noProof/>
              </w:rPr>
              <w:t>Summer Target Reserve Margin</w:t>
            </w:r>
            <w:r>
              <w:rPr>
                <w:noProof/>
                <w:webHidden/>
              </w:rPr>
              <w:tab/>
            </w:r>
            <w:r>
              <w:rPr>
                <w:noProof/>
                <w:webHidden/>
              </w:rPr>
              <w:fldChar w:fldCharType="begin"/>
            </w:r>
            <w:r>
              <w:rPr>
                <w:noProof/>
                <w:webHidden/>
              </w:rPr>
              <w:instrText xml:space="preserve"> PAGEREF _Toc187234635 \h </w:instrText>
            </w:r>
            <w:r>
              <w:rPr>
                <w:noProof/>
                <w:webHidden/>
              </w:rPr>
            </w:r>
            <w:r>
              <w:rPr>
                <w:noProof/>
                <w:webHidden/>
              </w:rPr>
              <w:fldChar w:fldCharType="separate"/>
            </w:r>
            <w:r>
              <w:rPr>
                <w:noProof/>
                <w:webHidden/>
              </w:rPr>
              <w:t>72</w:t>
            </w:r>
            <w:r>
              <w:rPr>
                <w:noProof/>
                <w:webHidden/>
              </w:rPr>
              <w:fldChar w:fldCharType="end"/>
            </w:r>
          </w:hyperlink>
        </w:p>
        <w:p w14:paraId="653ED483" w14:textId="7CBA3489" w:rsidR="00FE220C" w:rsidRDefault="00FE220C">
          <w:r>
            <w:rPr>
              <w:b/>
              <w:bCs/>
              <w:noProof/>
            </w:rPr>
            <w:fldChar w:fldCharType="end"/>
          </w:r>
        </w:p>
      </w:sdtContent>
    </w:sdt>
    <w:p w14:paraId="366BA44B" w14:textId="77777777" w:rsidR="00AD39E0" w:rsidRDefault="00AD39E0" w:rsidP="00FE220C">
      <w:pPr>
        <w:pStyle w:val="Header"/>
      </w:pPr>
      <w:r>
        <w:br w:type="page"/>
      </w:r>
    </w:p>
    <w:p w14:paraId="5A8AB101" w14:textId="77777777" w:rsidR="00AD39E0" w:rsidRPr="00421157" w:rsidRDefault="00AD39E0" w:rsidP="00EA46AD">
      <w:pPr>
        <w:pStyle w:val="Heading1"/>
        <w:numPr>
          <w:ilvl w:val="0"/>
          <w:numId w:val="0"/>
        </w:numPr>
      </w:pPr>
      <w:bookmarkStart w:id="19" w:name="_Toc187234584"/>
      <w:r w:rsidRPr="00C229E8">
        <w:t>LIST OF TABLES</w:t>
      </w:r>
      <w:bookmarkEnd w:id="19"/>
    </w:p>
    <w:p w14:paraId="15B55273" w14:textId="77777777" w:rsidR="00B5222A" w:rsidRDefault="00B5222A">
      <w:pPr>
        <w:pStyle w:val="TableofFigures"/>
        <w:tabs>
          <w:tab w:val="right" w:leader="dot" w:pos="9350"/>
        </w:tabs>
      </w:pPr>
    </w:p>
    <w:p w14:paraId="6828CC82" w14:textId="77777777" w:rsidR="00B5222A" w:rsidRDefault="00B5222A">
      <w:pPr>
        <w:pStyle w:val="TableofFigures"/>
        <w:tabs>
          <w:tab w:val="right" w:leader="dot" w:pos="9350"/>
        </w:tabs>
      </w:pPr>
      <w:r>
        <w:t>Report Tables</w:t>
      </w:r>
    </w:p>
    <w:p w14:paraId="4F6F1874" w14:textId="22244BE9" w:rsidR="00E25CCA" w:rsidRDefault="00FE220C">
      <w:pPr>
        <w:pStyle w:val="TableofFigures"/>
        <w:tabs>
          <w:tab w:val="right" w:leader="dot" w:pos="9350"/>
        </w:tabs>
        <w:rPr>
          <w:rFonts w:asciiTheme="minorHAnsi" w:eastAsiaTheme="minorEastAsia" w:hAnsiTheme="minorHAnsi" w:cstheme="minorBidi"/>
          <w:noProof/>
          <w:kern w:val="2"/>
          <w:sz w:val="24"/>
          <w:szCs w:val="24"/>
          <w14:ligatures w14:val="standardContextual"/>
        </w:rPr>
      </w:pPr>
      <w:r>
        <w:fldChar w:fldCharType="begin"/>
      </w:r>
      <w:r>
        <w:instrText xml:space="preserve"> TOC \h \z \c "Table" </w:instrText>
      </w:r>
      <w:r>
        <w:fldChar w:fldCharType="separate"/>
      </w:r>
      <w:hyperlink w:anchor="_Toc187234636" w:history="1">
        <w:r w:rsidR="00E25CCA" w:rsidRPr="00D607CA">
          <w:rPr>
            <w:rStyle w:val="Hyperlink"/>
            <w:noProof/>
          </w:rPr>
          <w:t>Table I</w:t>
        </w:r>
        <w:r w:rsidR="00E25CCA" w:rsidRPr="00D607CA">
          <w:rPr>
            <w:rStyle w:val="Hyperlink"/>
            <w:noProof/>
          </w:rPr>
          <w:noBreakHyphen/>
          <w:t>1. Simulation Regions Summary for Summer</w:t>
        </w:r>
        <w:r w:rsidR="00E25CCA">
          <w:rPr>
            <w:noProof/>
            <w:webHidden/>
          </w:rPr>
          <w:tab/>
        </w:r>
        <w:r w:rsidR="00E25CCA">
          <w:rPr>
            <w:noProof/>
            <w:webHidden/>
          </w:rPr>
          <w:fldChar w:fldCharType="begin"/>
        </w:r>
        <w:r w:rsidR="00E25CCA">
          <w:rPr>
            <w:noProof/>
            <w:webHidden/>
          </w:rPr>
          <w:instrText xml:space="preserve"> PAGEREF _Toc187234636 \h </w:instrText>
        </w:r>
        <w:r w:rsidR="00E25CCA">
          <w:rPr>
            <w:noProof/>
            <w:webHidden/>
          </w:rPr>
        </w:r>
        <w:r w:rsidR="00E25CCA">
          <w:rPr>
            <w:noProof/>
            <w:webHidden/>
          </w:rPr>
          <w:fldChar w:fldCharType="separate"/>
        </w:r>
        <w:r w:rsidR="00E25CCA">
          <w:rPr>
            <w:noProof/>
            <w:webHidden/>
          </w:rPr>
          <w:t>7</w:t>
        </w:r>
        <w:r w:rsidR="00E25CCA">
          <w:rPr>
            <w:noProof/>
            <w:webHidden/>
          </w:rPr>
          <w:fldChar w:fldCharType="end"/>
        </w:r>
      </w:hyperlink>
    </w:p>
    <w:p w14:paraId="7409EC2F" w14:textId="633AA7E5"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37" w:history="1">
        <w:r w:rsidRPr="00D607CA">
          <w:rPr>
            <w:rStyle w:val="Hyperlink"/>
            <w:noProof/>
          </w:rPr>
          <w:t>Table I</w:t>
        </w:r>
        <w:r w:rsidRPr="00D607CA">
          <w:rPr>
            <w:rStyle w:val="Hyperlink"/>
            <w:noProof/>
          </w:rPr>
          <w:noBreakHyphen/>
          <w:t>2. Simulation Regions Summary for Winter</w:t>
        </w:r>
        <w:r>
          <w:rPr>
            <w:noProof/>
            <w:webHidden/>
          </w:rPr>
          <w:tab/>
        </w:r>
        <w:r>
          <w:rPr>
            <w:noProof/>
            <w:webHidden/>
          </w:rPr>
          <w:fldChar w:fldCharType="begin"/>
        </w:r>
        <w:r>
          <w:rPr>
            <w:noProof/>
            <w:webHidden/>
          </w:rPr>
          <w:instrText xml:space="preserve"> PAGEREF _Toc187234637 \h </w:instrText>
        </w:r>
        <w:r>
          <w:rPr>
            <w:noProof/>
            <w:webHidden/>
          </w:rPr>
        </w:r>
        <w:r>
          <w:rPr>
            <w:noProof/>
            <w:webHidden/>
          </w:rPr>
          <w:fldChar w:fldCharType="separate"/>
        </w:r>
        <w:r>
          <w:rPr>
            <w:noProof/>
            <w:webHidden/>
          </w:rPr>
          <w:t>8</w:t>
        </w:r>
        <w:r>
          <w:rPr>
            <w:noProof/>
            <w:webHidden/>
          </w:rPr>
          <w:fldChar w:fldCharType="end"/>
        </w:r>
      </w:hyperlink>
    </w:p>
    <w:p w14:paraId="3BB6C34E" w14:textId="7B23D97B"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38" w:history="1">
        <w:r w:rsidRPr="00D607CA">
          <w:rPr>
            <w:rStyle w:val="Hyperlink"/>
            <w:noProof/>
          </w:rPr>
          <w:t>Table I</w:t>
        </w:r>
        <w:r w:rsidRPr="00D607CA">
          <w:rPr>
            <w:rStyle w:val="Hyperlink"/>
            <w:noProof/>
          </w:rPr>
          <w:noBreakHyphen/>
          <w:t>3. Model and Economic Input Bins</w:t>
        </w:r>
        <w:r>
          <w:rPr>
            <w:noProof/>
            <w:webHidden/>
          </w:rPr>
          <w:tab/>
        </w:r>
        <w:r>
          <w:rPr>
            <w:noProof/>
            <w:webHidden/>
          </w:rPr>
          <w:fldChar w:fldCharType="begin"/>
        </w:r>
        <w:r>
          <w:rPr>
            <w:noProof/>
            <w:webHidden/>
          </w:rPr>
          <w:instrText xml:space="preserve"> PAGEREF _Toc187234638 \h </w:instrText>
        </w:r>
        <w:r>
          <w:rPr>
            <w:noProof/>
            <w:webHidden/>
          </w:rPr>
        </w:r>
        <w:r>
          <w:rPr>
            <w:noProof/>
            <w:webHidden/>
          </w:rPr>
          <w:fldChar w:fldCharType="separate"/>
        </w:r>
        <w:r>
          <w:rPr>
            <w:noProof/>
            <w:webHidden/>
          </w:rPr>
          <w:t>14</w:t>
        </w:r>
        <w:r>
          <w:rPr>
            <w:noProof/>
            <w:webHidden/>
          </w:rPr>
          <w:fldChar w:fldCharType="end"/>
        </w:r>
      </w:hyperlink>
    </w:p>
    <w:p w14:paraId="6D6F6777" w14:textId="5CA4ED9E"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39" w:history="1">
        <w:r w:rsidRPr="00D607CA">
          <w:rPr>
            <w:rStyle w:val="Hyperlink"/>
            <w:noProof/>
          </w:rPr>
          <w:t>Table I</w:t>
        </w:r>
        <w:r w:rsidRPr="00D607CA">
          <w:rPr>
            <w:rStyle w:val="Hyperlink"/>
            <w:noProof/>
          </w:rPr>
          <w:noBreakHyphen/>
          <w:t>4. Load Forecast Error</w:t>
        </w:r>
        <w:r>
          <w:rPr>
            <w:noProof/>
            <w:webHidden/>
          </w:rPr>
          <w:tab/>
        </w:r>
        <w:r>
          <w:rPr>
            <w:noProof/>
            <w:webHidden/>
          </w:rPr>
          <w:fldChar w:fldCharType="begin"/>
        </w:r>
        <w:r>
          <w:rPr>
            <w:noProof/>
            <w:webHidden/>
          </w:rPr>
          <w:instrText xml:space="preserve"> PAGEREF _Toc187234639 \h </w:instrText>
        </w:r>
        <w:r>
          <w:rPr>
            <w:noProof/>
            <w:webHidden/>
          </w:rPr>
        </w:r>
        <w:r>
          <w:rPr>
            <w:noProof/>
            <w:webHidden/>
          </w:rPr>
          <w:fldChar w:fldCharType="separate"/>
        </w:r>
        <w:r>
          <w:rPr>
            <w:noProof/>
            <w:webHidden/>
          </w:rPr>
          <w:t>15</w:t>
        </w:r>
        <w:r>
          <w:rPr>
            <w:noProof/>
            <w:webHidden/>
          </w:rPr>
          <w:fldChar w:fldCharType="end"/>
        </w:r>
      </w:hyperlink>
    </w:p>
    <w:p w14:paraId="65E14227" w14:textId="72CE7F4E"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40" w:history="1">
        <w:r w:rsidRPr="00D607CA">
          <w:rPr>
            <w:rStyle w:val="Hyperlink"/>
            <w:noProof/>
          </w:rPr>
          <w:t>Table I</w:t>
        </w:r>
        <w:r w:rsidRPr="00D607CA">
          <w:rPr>
            <w:rStyle w:val="Hyperlink"/>
            <w:noProof/>
          </w:rPr>
          <w:noBreakHyphen/>
          <w:t>5. 2028 Modeled System Capacity by Technology</w:t>
        </w:r>
        <w:r>
          <w:rPr>
            <w:noProof/>
            <w:webHidden/>
          </w:rPr>
          <w:tab/>
        </w:r>
        <w:r>
          <w:rPr>
            <w:noProof/>
            <w:webHidden/>
          </w:rPr>
          <w:fldChar w:fldCharType="begin"/>
        </w:r>
        <w:r>
          <w:rPr>
            <w:noProof/>
            <w:webHidden/>
          </w:rPr>
          <w:instrText xml:space="preserve"> PAGEREF _Toc187234640 \h </w:instrText>
        </w:r>
        <w:r>
          <w:rPr>
            <w:noProof/>
            <w:webHidden/>
          </w:rPr>
        </w:r>
        <w:r>
          <w:rPr>
            <w:noProof/>
            <w:webHidden/>
          </w:rPr>
          <w:fldChar w:fldCharType="separate"/>
        </w:r>
        <w:r>
          <w:rPr>
            <w:noProof/>
            <w:webHidden/>
          </w:rPr>
          <w:t>17</w:t>
        </w:r>
        <w:r>
          <w:rPr>
            <w:noProof/>
            <w:webHidden/>
          </w:rPr>
          <w:fldChar w:fldCharType="end"/>
        </w:r>
      </w:hyperlink>
    </w:p>
    <w:p w14:paraId="0DB3D12D" w14:textId="585018A7"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41" w:history="1">
        <w:r w:rsidRPr="00D607CA">
          <w:rPr>
            <w:rStyle w:val="Hyperlink"/>
            <w:noProof/>
          </w:rPr>
          <w:t>Table I</w:t>
        </w:r>
        <w:r w:rsidRPr="00D607CA">
          <w:rPr>
            <w:rStyle w:val="Hyperlink"/>
            <w:noProof/>
          </w:rPr>
          <w:noBreakHyphen/>
          <w:t>6. Steam Unit Sample Time to Fail and Time to Repair Data</w:t>
        </w:r>
        <w:r>
          <w:rPr>
            <w:noProof/>
            <w:webHidden/>
          </w:rPr>
          <w:tab/>
        </w:r>
        <w:r>
          <w:rPr>
            <w:noProof/>
            <w:webHidden/>
          </w:rPr>
          <w:fldChar w:fldCharType="begin"/>
        </w:r>
        <w:r>
          <w:rPr>
            <w:noProof/>
            <w:webHidden/>
          </w:rPr>
          <w:instrText xml:space="preserve"> PAGEREF _Toc187234641 \h </w:instrText>
        </w:r>
        <w:r>
          <w:rPr>
            <w:noProof/>
            <w:webHidden/>
          </w:rPr>
        </w:r>
        <w:r>
          <w:rPr>
            <w:noProof/>
            <w:webHidden/>
          </w:rPr>
          <w:fldChar w:fldCharType="separate"/>
        </w:r>
        <w:r>
          <w:rPr>
            <w:noProof/>
            <w:webHidden/>
          </w:rPr>
          <w:t>18</w:t>
        </w:r>
        <w:r>
          <w:rPr>
            <w:noProof/>
            <w:webHidden/>
          </w:rPr>
          <w:fldChar w:fldCharType="end"/>
        </w:r>
      </w:hyperlink>
    </w:p>
    <w:p w14:paraId="466C5A41" w14:textId="5839A6B1"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42" w:history="1">
        <w:r w:rsidRPr="00D607CA">
          <w:rPr>
            <w:rStyle w:val="Hyperlink"/>
            <w:noProof/>
          </w:rPr>
          <w:t>Table I</w:t>
        </w:r>
        <w:r w:rsidRPr="00D607CA">
          <w:rPr>
            <w:rStyle w:val="Hyperlink"/>
            <w:noProof/>
          </w:rPr>
          <w:noBreakHyphen/>
          <w:t>7. Approximate EFOR by Unit Class</w:t>
        </w:r>
        <w:r>
          <w:rPr>
            <w:noProof/>
            <w:webHidden/>
          </w:rPr>
          <w:tab/>
        </w:r>
        <w:r>
          <w:rPr>
            <w:noProof/>
            <w:webHidden/>
          </w:rPr>
          <w:fldChar w:fldCharType="begin"/>
        </w:r>
        <w:r>
          <w:rPr>
            <w:noProof/>
            <w:webHidden/>
          </w:rPr>
          <w:instrText xml:space="preserve"> PAGEREF _Toc187234642 \h </w:instrText>
        </w:r>
        <w:r>
          <w:rPr>
            <w:noProof/>
            <w:webHidden/>
          </w:rPr>
        </w:r>
        <w:r>
          <w:rPr>
            <w:noProof/>
            <w:webHidden/>
          </w:rPr>
          <w:fldChar w:fldCharType="separate"/>
        </w:r>
        <w:r>
          <w:rPr>
            <w:noProof/>
            <w:webHidden/>
          </w:rPr>
          <w:t>19</w:t>
        </w:r>
        <w:r>
          <w:rPr>
            <w:noProof/>
            <w:webHidden/>
          </w:rPr>
          <w:fldChar w:fldCharType="end"/>
        </w:r>
      </w:hyperlink>
    </w:p>
    <w:p w14:paraId="45CF3E37" w14:textId="7DDCD8BE"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43" w:history="1">
        <w:r w:rsidRPr="00D607CA">
          <w:rPr>
            <w:rStyle w:val="Hyperlink"/>
            <w:noProof/>
          </w:rPr>
          <w:t>Table I</w:t>
        </w:r>
        <w:r w:rsidRPr="00D607CA">
          <w:rPr>
            <w:rStyle w:val="Hyperlink"/>
            <w:noProof/>
          </w:rPr>
          <w:noBreakHyphen/>
          <w:t>8. Historical Dispatchers’ Peak Load forecast error</w:t>
        </w:r>
        <w:r>
          <w:rPr>
            <w:noProof/>
            <w:webHidden/>
          </w:rPr>
          <w:tab/>
        </w:r>
        <w:r>
          <w:rPr>
            <w:noProof/>
            <w:webHidden/>
          </w:rPr>
          <w:fldChar w:fldCharType="begin"/>
        </w:r>
        <w:r>
          <w:rPr>
            <w:noProof/>
            <w:webHidden/>
          </w:rPr>
          <w:instrText xml:space="preserve"> PAGEREF _Toc187234643 \h </w:instrText>
        </w:r>
        <w:r>
          <w:rPr>
            <w:noProof/>
            <w:webHidden/>
          </w:rPr>
        </w:r>
        <w:r>
          <w:rPr>
            <w:noProof/>
            <w:webHidden/>
          </w:rPr>
          <w:fldChar w:fldCharType="separate"/>
        </w:r>
        <w:r>
          <w:rPr>
            <w:noProof/>
            <w:webHidden/>
          </w:rPr>
          <w:t>27</w:t>
        </w:r>
        <w:r>
          <w:rPr>
            <w:noProof/>
            <w:webHidden/>
          </w:rPr>
          <w:fldChar w:fldCharType="end"/>
        </w:r>
      </w:hyperlink>
    </w:p>
    <w:p w14:paraId="3A928C36" w14:textId="3CE59C7E"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44" w:history="1">
        <w:r w:rsidRPr="00D607CA">
          <w:rPr>
            <w:rStyle w:val="Hyperlink"/>
            <w:noProof/>
          </w:rPr>
          <w:t>Table I</w:t>
        </w:r>
        <w:r w:rsidRPr="00D607CA">
          <w:rPr>
            <w:rStyle w:val="Hyperlink"/>
            <w:noProof/>
          </w:rPr>
          <w:noBreakHyphen/>
          <w:t>9. EUE Cost</w:t>
        </w:r>
        <w:r>
          <w:rPr>
            <w:noProof/>
            <w:webHidden/>
          </w:rPr>
          <w:tab/>
        </w:r>
        <w:r>
          <w:rPr>
            <w:noProof/>
            <w:webHidden/>
          </w:rPr>
          <w:fldChar w:fldCharType="begin"/>
        </w:r>
        <w:r>
          <w:rPr>
            <w:noProof/>
            <w:webHidden/>
          </w:rPr>
          <w:instrText xml:space="preserve"> PAGEREF _Toc187234644 \h </w:instrText>
        </w:r>
        <w:r>
          <w:rPr>
            <w:noProof/>
            <w:webHidden/>
          </w:rPr>
        </w:r>
        <w:r>
          <w:rPr>
            <w:noProof/>
            <w:webHidden/>
          </w:rPr>
          <w:fldChar w:fldCharType="separate"/>
        </w:r>
        <w:r>
          <w:rPr>
            <w:noProof/>
            <w:webHidden/>
          </w:rPr>
          <w:t>36</w:t>
        </w:r>
        <w:r>
          <w:rPr>
            <w:noProof/>
            <w:webHidden/>
          </w:rPr>
          <w:fldChar w:fldCharType="end"/>
        </w:r>
      </w:hyperlink>
    </w:p>
    <w:p w14:paraId="2319D15B" w14:textId="628B5283"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45" w:history="1">
        <w:r w:rsidRPr="00D607CA">
          <w:rPr>
            <w:rStyle w:val="Hyperlink"/>
            <w:noProof/>
          </w:rPr>
          <w:t>Table II</w:t>
        </w:r>
        <w:r w:rsidRPr="00D607CA">
          <w:rPr>
            <w:rStyle w:val="Hyperlink"/>
            <w:noProof/>
          </w:rPr>
          <w:noBreakHyphen/>
          <w:t>1. SERVM Case Variables</w:t>
        </w:r>
        <w:r>
          <w:rPr>
            <w:noProof/>
            <w:webHidden/>
          </w:rPr>
          <w:tab/>
        </w:r>
        <w:r>
          <w:rPr>
            <w:noProof/>
            <w:webHidden/>
          </w:rPr>
          <w:fldChar w:fldCharType="begin"/>
        </w:r>
        <w:r>
          <w:rPr>
            <w:noProof/>
            <w:webHidden/>
          </w:rPr>
          <w:instrText xml:space="preserve"> PAGEREF _Toc187234645 \h </w:instrText>
        </w:r>
        <w:r>
          <w:rPr>
            <w:noProof/>
            <w:webHidden/>
          </w:rPr>
        </w:r>
        <w:r>
          <w:rPr>
            <w:noProof/>
            <w:webHidden/>
          </w:rPr>
          <w:fldChar w:fldCharType="separate"/>
        </w:r>
        <w:r>
          <w:rPr>
            <w:noProof/>
            <w:webHidden/>
          </w:rPr>
          <w:t>37</w:t>
        </w:r>
        <w:r>
          <w:rPr>
            <w:noProof/>
            <w:webHidden/>
          </w:rPr>
          <w:fldChar w:fldCharType="end"/>
        </w:r>
      </w:hyperlink>
    </w:p>
    <w:p w14:paraId="30814C74" w14:textId="334A4512"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46" w:history="1">
        <w:r w:rsidRPr="00D607CA">
          <w:rPr>
            <w:rStyle w:val="Hyperlink"/>
            <w:noProof/>
          </w:rPr>
          <w:t>Table II</w:t>
        </w:r>
        <w:r w:rsidRPr="00D607CA">
          <w:rPr>
            <w:rStyle w:val="Hyperlink"/>
            <w:noProof/>
          </w:rPr>
          <w:noBreakHyphen/>
          <w:t>2. Capacity Removed to Establish the Initial Reserve Margin Level</w:t>
        </w:r>
        <w:r>
          <w:rPr>
            <w:noProof/>
            <w:webHidden/>
          </w:rPr>
          <w:tab/>
        </w:r>
        <w:r>
          <w:rPr>
            <w:noProof/>
            <w:webHidden/>
          </w:rPr>
          <w:fldChar w:fldCharType="begin"/>
        </w:r>
        <w:r>
          <w:rPr>
            <w:noProof/>
            <w:webHidden/>
          </w:rPr>
          <w:instrText xml:space="preserve"> PAGEREF _Toc187234646 \h </w:instrText>
        </w:r>
        <w:r>
          <w:rPr>
            <w:noProof/>
            <w:webHidden/>
          </w:rPr>
        </w:r>
        <w:r>
          <w:rPr>
            <w:noProof/>
            <w:webHidden/>
          </w:rPr>
          <w:fldChar w:fldCharType="separate"/>
        </w:r>
        <w:r>
          <w:rPr>
            <w:noProof/>
            <w:webHidden/>
          </w:rPr>
          <w:t>38</w:t>
        </w:r>
        <w:r>
          <w:rPr>
            <w:noProof/>
            <w:webHidden/>
          </w:rPr>
          <w:fldChar w:fldCharType="end"/>
        </w:r>
      </w:hyperlink>
    </w:p>
    <w:p w14:paraId="6B5EC10D" w14:textId="47A79821"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47" w:history="1">
        <w:r w:rsidRPr="00D607CA">
          <w:rPr>
            <w:rStyle w:val="Hyperlink"/>
            <w:noProof/>
          </w:rPr>
          <w:t>Table II</w:t>
        </w:r>
        <w:r w:rsidRPr="00D607CA">
          <w:rPr>
            <w:rStyle w:val="Hyperlink"/>
            <w:noProof/>
          </w:rPr>
          <w:noBreakHyphen/>
          <w:t>3. Simulation Case Probability</w:t>
        </w:r>
        <w:r>
          <w:rPr>
            <w:noProof/>
            <w:webHidden/>
          </w:rPr>
          <w:tab/>
        </w:r>
        <w:r>
          <w:rPr>
            <w:noProof/>
            <w:webHidden/>
          </w:rPr>
          <w:fldChar w:fldCharType="begin"/>
        </w:r>
        <w:r>
          <w:rPr>
            <w:noProof/>
            <w:webHidden/>
          </w:rPr>
          <w:instrText xml:space="preserve"> PAGEREF _Toc187234647 \h </w:instrText>
        </w:r>
        <w:r>
          <w:rPr>
            <w:noProof/>
            <w:webHidden/>
          </w:rPr>
        </w:r>
        <w:r>
          <w:rPr>
            <w:noProof/>
            <w:webHidden/>
          </w:rPr>
          <w:fldChar w:fldCharType="separate"/>
        </w:r>
        <w:r>
          <w:rPr>
            <w:noProof/>
            <w:webHidden/>
          </w:rPr>
          <w:t>39</w:t>
        </w:r>
        <w:r>
          <w:rPr>
            <w:noProof/>
            <w:webHidden/>
          </w:rPr>
          <w:fldChar w:fldCharType="end"/>
        </w:r>
      </w:hyperlink>
    </w:p>
    <w:p w14:paraId="2D20F16E" w14:textId="401846BE"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48" w:history="1">
        <w:r w:rsidRPr="00D607CA">
          <w:rPr>
            <w:rStyle w:val="Hyperlink"/>
            <w:noProof/>
          </w:rPr>
          <w:t>Table II</w:t>
        </w:r>
        <w:r w:rsidRPr="00D607CA">
          <w:rPr>
            <w:rStyle w:val="Hyperlink"/>
            <w:noProof/>
          </w:rPr>
          <w:noBreakHyphen/>
          <w:t>4. Sample Calculation Top 10 Worst Reliability Costs at 26% Winter Reserves</w:t>
        </w:r>
        <w:r>
          <w:rPr>
            <w:noProof/>
            <w:webHidden/>
          </w:rPr>
          <w:tab/>
        </w:r>
        <w:r>
          <w:rPr>
            <w:noProof/>
            <w:webHidden/>
          </w:rPr>
          <w:fldChar w:fldCharType="begin"/>
        </w:r>
        <w:r>
          <w:rPr>
            <w:noProof/>
            <w:webHidden/>
          </w:rPr>
          <w:instrText xml:space="preserve"> PAGEREF _Toc187234648 \h </w:instrText>
        </w:r>
        <w:r>
          <w:rPr>
            <w:noProof/>
            <w:webHidden/>
          </w:rPr>
        </w:r>
        <w:r>
          <w:rPr>
            <w:noProof/>
            <w:webHidden/>
          </w:rPr>
          <w:fldChar w:fldCharType="separate"/>
        </w:r>
        <w:r>
          <w:rPr>
            <w:noProof/>
            <w:webHidden/>
          </w:rPr>
          <w:t>41</w:t>
        </w:r>
        <w:r>
          <w:rPr>
            <w:noProof/>
            <w:webHidden/>
          </w:rPr>
          <w:fldChar w:fldCharType="end"/>
        </w:r>
      </w:hyperlink>
    </w:p>
    <w:p w14:paraId="63DADD67" w14:textId="05979C9B"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49" w:history="1">
        <w:r w:rsidRPr="00D607CA">
          <w:rPr>
            <w:rStyle w:val="Hyperlink"/>
            <w:noProof/>
          </w:rPr>
          <w:t>Table II</w:t>
        </w:r>
        <w:r w:rsidRPr="00D607CA">
          <w:rPr>
            <w:rStyle w:val="Hyperlink"/>
            <w:noProof/>
          </w:rPr>
          <w:noBreakHyphen/>
          <w:t>5. Worst Reliability Costs Weighted Probability</w:t>
        </w:r>
        <w:r>
          <w:rPr>
            <w:noProof/>
            <w:webHidden/>
          </w:rPr>
          <w:tab/>
        </w:r>
        <w:r>
          <w:rPr>
            <w:noProof/>
            <w:webHidden/>
          </w:rPr>
          <w:fldChar w:fldCharType="begin"/>
        </w:r>
        <w:r>
          <w:rPr>
            <w:noProof/>
            <w:webHidden/>
          </w:rPr>
          <w:instrText xml:space="preserve"> PAGEREF _Toc187234649 \h </w:instrText>
        </w:r>
        <w:r>
          <w:rPr>
            <w:noProof/>
            <w:webHidden/>
          </w:rPr>
        </w:r>
        <w:r>
          <w:rPr>
            <w:noProof/>
            <w:webHidden/>
          </w:rPr>
          <w:fldChar w:fldCharType="separate"/>
        </w:r>
        <w:r>
          <w:rPr>
            <w:noProof/>
            <w:webHidden/>
          </w:rPr>
          <w:t>42</w:t>
        </w:r>
        <w:r>
          <w:rPr>
            <w:noProof/>
            <w:webHidden/>
          </w:rPr>
          <w:fldChar w:fldCharType="end"/>
        </w:r>
      </w:hyperlink>
    </w:p>
    <w:p w14:paraId="5E6CAD74" w14:textId="0C34A89B"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50" w:history="1">
        <w:r w:rsidRPr="00D607CA">
          <w:rPr>
            <w:rStyle w:val="Hyperlink"/>
            <w:noProof/>
          </w:rPr>
          <w:t>Table II</w:t>
        </w:r>
        <w:r w:rsidRPr="00D607CA">
          <w:rPr>
            <w:rStyle w:val="Hyperlink"/>
            <w:noProof/>
          </w:rPr>
          <w:noBreakHyphen/>
          <w:t>6. Production Cost Components for Sample Data Set</w:t>
        </w:r>
        <w:r>
          <w:rPr>
            <w:noProof/>
            <w:webHidden/>
          </w:rPr>
          <w:tab/>
        </w:r>
        <w:r>
          <w:rPr>
            <w:noProof/>
            <w:webHidden/>
          </w:rPr>
          <w:fldChar w:fldCharType="begin"/>
        </w:r>
        <w:r>
          <w:rPr>
            <w:noProof/>
            <w:webHidden/>
          </w:rPr>
          <w:instrText xml:space="preserve"> PAGEREF _Toc187234650 \h </w:instrText>
        </w:r>
        <w:r>
          <w:rPr>
            <w:noProof/>
            <w:webHidden/>
          </w:rPr>
        </w:r>
        <w:r>
          <w:rPr>
            <w:noProof/>
            <w:webHidden/>
          </w:rPr>
          <w:fldChar w:fldCharType="separate"/>
        </w:r>
        <w:r>
          <w:rPr>
            <w:noProof/>
            <w:webHidden/>
          </w:rPr>
          <w:t>42</w:t>
        </w:r>
        <w:r>
          <w:rPr>
            <w:noProof/>
            <w:webHidden/>
          </w:rPr>
          <w:fldChar w:fldCharType="end"/>
        </w:r>
      </w:hyperlink>
    </w:p>
    <w:p w14:paraId="0A4730B5" w14:textId="47BEFF43"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51" w:history="1">
        <w:r w:rsidRPr="00D607CA">
          <w:rPr>
            <w:rStyle w:val="Hyperlink"/>
            <w:noProof/>
          </w:rPr>
          <w:t>Table II</w:t>
        </w:r>
        <w:r w:rsidRPr="00D607CA">
          <w:rPr>
            <w:rStyle w:val="Hyperlink"/>
            <w:noProof/>
          </w:rPr>
          <w:noBreakHyphen/>
          <w:t>7. Production Cost Weighted Probability</w:t>
        </w:r>
        <w:r>
          <w:rPr>
            <w:noProof/>
            <w:webHidden/>
          </w:rPr>
          <w:tab/>
        </w:r>
        <w:r>
          <w:rPr>
            <w:noProof/>
            <w:webHidden/>
          </w:rPr>
          <w:fldChar w:fldCharType="begin"/>
        </w:r>
        <w:r>
          <w:rPr>
            <w:noProof/>
            <w:webHidden/>
          </w:rPr>
          <w:instrText xml:space="preserve"> PAGEREF _Toc187234651 \h </w:instrText>
        </w:r>
        <w:r>
          <w:rPr>
            <w:noProof/>
            <w:webHidden/>
          </w:rPr>
        </w:r>
        <w:r>
          <w:rPr>
            <w:noProof/>
            <w:webHidden/>
          </w:rPr>
          <w:fldChar w:fldCharType="separate"/>
        </w:r>
        <w:r>
          <w:rPr>
            <w:noProof/>
            <w:webHidden/>
          </w:rPr>
          <w:t>43</w:t>
        </w:r>
        <w:r>
          <w:rPr>
            <w:noProof/>
            <w:webHidden/>
          </w:rPr>
          <w:fldChar w:fldCharType="end"/>
        </w:r>
      </w:hyperlink>
    </w:p>
    <w:p w14:paraId="68244301" w14:textId="37CC55C0"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52" w:history="1">
        <w:r w:rsidRPr="00D607CA">
          <w:rPr>
            <w:rStyle w:val="Hyperlink"/>
            <w:noProof/>
          </w:rPr>
          <w:t>Table III</w:t>
        </w:r>
        <w:r w:rsidRPr="00D607CA">
          <w:rPr>
            <w:rStyle w:val="Hyperlink"/>
            <w:noProof/>
          </w:rPr>
          <w:noBreakHyphen/>
          <w:t>1. Value at Risk</w:t>
        </w:r>
        <w:r>
          <w:rPr>
            <w:noProof/>
            <w:webHidden/>
          </w:rPr>
          <w:tab/>
        </w:r>
        <w:r>
          <w:rPr>
            <w:noProof/>
            <w:webHidden/>
          </w:rPr>
          <w:fldChar w:fldCharType="begin"/>
        </w:r>
        <w:r>
          <w:rPr>
            <w:noProof/>
            <w:webHidden/>
          </w:rPr>
          <w:instrText xml:space="preserve"> PAGEREF _Toc187234652 \h </w:instrText>
        </w:r>
        <w:r>
          <w:rPr>
            <w:noProof/>
            <w:webHidden/>
          </w:rPr>
        </w:r>
        <w:r>
          <w:rPr>
            <w:noProof/>
            <w:webHidden/>
          </w:rPr>
          <w:fldChar w:fldCharType="separate"/>
        </w:r>
        <w:r>
          <w:rPr>
            <w:noProof/>
            <w:webHidden/>
          </w:rPr>
          <w:t>51</w:t>
        </w:r>
        <w:r>
          <w:rPr>
            <w:noProof/>
            <w:webHidden/>
          </w:rPr>
          <w:fldChar w:fldCharType="end"/>
        </w:r>
      </w:hyperlink>
    </w:p>
    <w:p w14:paraId="522B607E" w14:textId="4748B3FD"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53" w:history="1">
        <w:r w:rsidRPr="00D607CA">
          <w:rPr>
            <w:rStyle w:val="Hyperlink"/>
            <w:noProof/>
          </w:rPr>
          <w:t>Table IV</w:t>
        </w:r>
        <w:r w:rsidRPr="00D607CA">
          <w:rPr>
            <w:rStyle w:val="Hyperlink"/>
            <w:noProof/>
          </w:rPr>
          <w:noBreakHyphen/>
          <w:t>1: Summary of Winter Sensitivity Results</w:t>
        </w:r>
        <w:r>
          <w:rPr>
            <w:noProof/>
            <w:webHidden/>
          </w:rPr>
          <w:tab/>
        </w:r>
        <w:r>
          <w:rPr>
            <w:noProof/>
            <w:webHidden/>
          </w:rPr>
          <w:fldChar w:fldCharType="begin"/>
        </w:r>
        <w:r>
          <w:rPr>
            <w:noProof/>
            <w:webHidden/>
          </w:rPr>
          <w:instrText xml:space="preserve"> PAGEREF _Toc187234653 \h </w:instrText>
        </w:r>
        <w:r>
          <w:rPr>
            <w:noProof/>
            <w:webHidden/>
          </w:rPr>
        </w:r>
        <w:r>
          <w:rPr>
            <w:noProof/>
            <w:webHidden/>
          </w:rPr>
          <w:fldChar w:fldCharType="separate"/>
        </w:r>
        <w:r>
          <w:rPr>
            <w:noProof/>
            <w:webHidden/>
          </w:rPr>
          <w:t>69</w:t>
        </w:r>
        <w:r>
          <w:rPr>
            <w:noProof/>
            <w:webHidden/>
          </w:rPr>
          <w:fldChar w:fldCharType="end"/>
        </w:r>
      </w:hyperlink>
    </w:p>
    <w:p w14:paraId="6521A786" w14:textId="73357C65"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54" w:history="1">
        <w:r w:rsidRPr="00D607CA">
          <w:rPr>
            <w:rStyle w:val="Hyperlink"/>
            <w:noProof/>
          </w:rPr>
          <w:t>Table IV</w:t>
        </w:r>
        <w:r w:rsidRPr="00D607CA">
          <w:rPr>
            <w:rStyle w:val="Hyperlink"/>
            <w:noProof/>
          </w:rPr>
          <w:noBreakHyphen/>
          <w:t>2: Short-Term Load forecast error</w:t>
        </w:r>
        <w:r>
          <w:rPr>
            <w:noProof/>
            <w:webHidden/>
          </w:rPr>
          <w:tab/>
        </w:r>
        <w:r>
          <w:rPr>
            <w:noProof/>
            <w:webHidden/>
          </w:rPr>
          <w:fldChar w:fldCharType="begin"/>
        </w:r>
        <w:r>
          <w:rPr>
            <w:noProof/>
            <w:webHidden/>
          </w:rPr>
          <w:instrText xml:space="preserve"> PAGEREF _Toc187234654 \h </w:instrText>
        </w:r>
        <w:r>
          <w:rPr>
            <w:noProof/>
            <w:webHidden/>
          </w:rPr>
        </w:r>
        <w:r>
          <w:rPr>
            <w:noProof/>
            <w:webHidden/>
          </w:rPr>
          <w:fldChar w:fldCharType="separate"/>
        </w:r>
        <w:r>
          <w:rPr>
            <w:noProof/>
            <w:webHidden/>
          </w:rPr>
          <w:t>70</w:t>
        </w:r>
        <w:r>
          <w:rPr>
            <w:noProof/>
            <w:webHidden/>
          </w:rPr>
          <w:fldChar w:fldCharType="end"/>
        </w:r>
      </w:hyperlink>
    </w:p>
    <w:p w14:paraId="6F22F257" w14:textId="5724B325" w:rsidR="00B5222A" w:rsidRDefault="00FE220C" w:rsidP="00AD39E0">
      <w:pPr>
        <w:spacing w:line="240" w:lineRule="auto"/>
      </w:pPr>
      <w:r>
        <w:fldChar w:fldCharType="end"/>
      </w:r>
    </w:p>
    <w:p w14:paraId="2A29A41E" w14:textId="77777777" w:rsidR="00AD39E0" w:rsidRPr="00421157" w:rsidRDefault="00B5222A" w:rsidP="00EA46AD">
      <w:pPr>
        <w:pStyle w:val="Heading1"/>
        <w:numPr>
          <w:ilvl w:val="0"/>
          <w:numId w:val="0"/>
        </w:numPr>
      </w:pPr>
      <w:bookmarkStart w:id="20" w:name="_Toc187234585"/>
      <w:r>
        <w:t>LIST</w:t>
      </w:r>
      <w:r w:rsidR="00AD39E0" w:rsidRPr="00357B79">
        <w:t xml:space="preserve"> OF FIGURES</w:t>
      </w:r>
      <w:bookmarkEnd w:id="20"/>
    </w:p>
    <w:p w14:paraId="1A89E4A6" w14:textId="77777777" w:rsidR="00B5222A" w:rsidRDefault="00B5222A">
      <w:pPr>
        <w:pStyle w:val="TableofFigures"/>
        <w:tabs>
          <w:tab w:val="right" w:leader="dot" w:pos="9350"/>
        </w:tabs>
      </w:pPr>
    </w:p>
    <w:p w14:paraId="37156E4D" w14:textId="77777777" w:rsidR="00B5222A" w:rsidRDefault="00B5222A">
      <w:pPr>
        <w:pStyle w:val="TableofFigures"/>
        <w:tabs>
          <w:tab w:val="right" w:leader="dot" w:pos="9350"/>
        </w:tabs>
      </w:pPr>
      <w:r>
        <w:t>Report Figures</w:t>
      </w:r>
    </w:p>
    <w:p w14:paraId="31EF31D1" w14:textId="5F4691D9" w:rsidR="00E25CCA" w:rsidRDefault="00EA46AD">
      <w:pPr>
        <w:pStyle w:val="TableofFigures"/>
        <w:tabs>
          <w:tab w:val="right" w:leader="dot" w:pos="9350"/>
        </w:tabs>
        <w:rPr>
          <w:rFonts w:asciiTheme="minorHAnsi" w:eastAsiaTheme="minorEastAsia" w:hAnsiTheme="minorHAnsi" w:cstheme="minorBidi"/>
          <w:noProof/>
          <w:kern w:val="2"/>
          <w:sz w:val="24"/>
          <w:szCs w:val="24"/>
          <w14:ligatures w14:val="standardContextual"/>
        </w:rPr>
      </w:pPr>
      <w:r>
        <w:fldChar w:fldCharType="begin"/>
      </w:r>
      <w:r>
        <w:instrText xml:space="preserve"> TOC \h \z \c "Figure" </w:instrText>
      </w:r>
      <w:r>
        <w:fldChar w:fldCharType="separate"/>
      </w:r>
      <w:hyperlink w:anchor="_Toc187234655" w:history="1">
        <w:r w:rsidR="00E25CCA" w:rsidRPr="00AE3CD3">
          <w:rPr>
            <w:rStyle w:val="Hyperlink"/>
            <w:noProof/>
          </w:rPr>
          <w:t>Figure 1. Winter EORM U-Curve</w:t>
        </w:r>
        <w:r w:rsidR="00E25CCA">
          <w:rPr>
            <w:noProof/>
            <w:webHidden/>
          </w:rPr>
          <w:tab/>
        </w:r>
        <w:r w:rsidR="00E25CCA">
          <w:rPr>
            <w:noProof/>
            <w:webHidden/>
          </w:rPr>
          <w:fldChar w:fldCharType="begin"/>
        </w:r>
        <w:r w:rsidR="00E25CCA">
          <w:rPr>
            <w:noProof/>
            <w:webHidden/>
          </w:rPr>
          <w:instrText xml:space="preserve"> PAGEREF _Toc187234655 \h </w:instrText>
        </w:r>
        <w:r w:rsidR="00E25CCA">
          <w:rPr>
            <w:noProof/>
            <w:webHidden/>
          </w:rPr>
        </w:r>
        <w:r w:rsidR="00E25CCA">
          <w:rPr>
            <w:noProof/>
            <w:webHidden/>
          </w:rPr>
          <w:fldChar w:fldCharType="separate"/>
        </w:r>
        <w:r w:rsidR="00E25CCA">
          <w:rPr>
            <w:noProof/>
            <w:webHidden/>
          </w:rPr>
          <w:t>v</w:t>
        </w:r>
        <w:r w:rsidR="00E25CCA">
          <w:rPr>
            <w:noProof/>
            <w:webHidden/>
          </w:rPr>
          <w:fldChar w:fldCharType="end"/>
        </w:r>
      </w:hyperlink>
    </w:p>
    <w:p w14:paraId="4056E1D6" w14:textId="2C3C96FC"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56" w:history="1">
        <w:r w:rsidRPr="00AE3CD3">
          <w:rPr>
            <w:rStyle w:val="Hyperlink"/>
            <w:noProof/>
          </w:rPr>
          <w:t>Figure 2. Summer EORM U-Curve</w:t>
        </w:r>
        <w:r>
          <w:rPr>
            <w:noProof/>
            <w:webHidden/>
          </w:rPr>
          <w:tab/>
        </w:r>
        <w:r>
          <w:rPr>
            <w:noProof/>
            <w:webHidden/>
          </w:rPr>
          <w:fldChar w:fldCharType="begin"/>
        </w:r>
        <w:r>
          <w:rPr>
            <w:noProof/>
            <w:webHidden/>
          </w:rPr>
          <w:instrText xml:space="preserve"> PAGEREF _Toc187234656 \h </w:instrText>
        </w:r>
        <w:r>
          <w:rPr>
            <w:noProof/>
            <w:webHidden/>
          </w:rPr>
        </w:r>
        <w:r>
          <w:rPr>
            <w:noProof/>
            <w:webHidden/>
          </w:rPr>
          <w:fldChar w:fldCharType="separate"/>
        </w:r>
        <w:r>
          <w:rPr>
            <w:noProof/>
            <w:webHidden/>
          </w:rPr>
          <w:t>vi</w:t>
        </w:r>
        <w:r>
          <w:rPr>
            <w:noProof/>
            <w:webHidden/>
          </w:rPr>
          <w:fldChar w:fldCharType="end"/>
        </w:r>
      </w:hyperlink>
    </w:p>
    <w:p w14:paraId="6022B072" w14:textId="03E07BE0"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57" w:history="1">
        <w:r w:rsidRPr="00AE3CD3">
          <w:rPr>
            <w:rStyle w:val="Hyperlink"/>
            <w:noProof/>
          </w:rPr>
          <w:t>Figure 3. Confidence Interval U-Curve (Winter)</w:t>
        </w:r>
        <w:r>
          <w:rPr>
            <w:noProof/>
            <w:webHidden/>
          </w:rPr>
          <w:tab/>
        </w:r>
        <w:r>
          <w:rPr>
            <w:noProof/>
            <w:webHidden/>
          </w:rPr>
          <w:fldChar w:fldCharType="begin"/>
        </w:r>
        <w:r>
          <w:rPr>
            <w:noProof/>
            <w:webHidden/>
          </w:rPr>
          <w:instrText xml:space="preserve"> PAGEREF _Toc187234657 \h </w:instrText>
        </w:r>
        <w:r>
          <w:rPr>
            <w:noProof/>
            <w:webHidden/>
          </w:rPr>
        </w:r>
        <w:r>
          <w:rPr>
            <w:noProof/>
            <w:webHidden/>
          </w:rPr>
          <w:fldChar w:fldCharType="separate"/>
        </w:r>
        <w:r>
          <w:rPr>
            <w:noProof/>
            <w:webHidden/>
          </w:rPr>
          <w:t>viii</w:t>
        </w:r>
        <w:r>
          <w:rPr>
            <w:noProof/>
            <w:webHidden/>
          </w:rPr>
          <w:fldChar w:fldCharType="end"/>
        </w:r>
      </w:hyperlink>
    </w:p>
    <w:p w14:paraId="2DD80039" w14:textId="5EDD8C51"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58" w:history="1">
        <w:r w:rsidRPr="00AE3CD3">
          <w:rPr>
            <w:rStyle w:val="Hyperlink"/>
            <w:noProof/>
          </w:rPr>
          <w:t>Figure 4. Confidence Interval U-Curve (Summer)</w:t>
        </w:r>
        <w:r>
          <w:rPr>
            <w:noProof/>
            <w:webHidden/>
          </w:rPr>
          <w:tab/>
        </w:r>
        <w:r>
          <w:rPr>
            <w:noProof/>
            <w:webHidden/>
          </w:rPr>
          <w:fldChar w:fldCharType="begin"/>
        </w:r>
        <w:r>
          <w:rPr>
            <w:noProof/>
            <w:webHidden/>
          </w:rPr>
          <w:instrText xml:space="preserve"> PAGEREF _Toc187234658 \h </w:instrText>
        </w:r>
        <w:r>
          <w:rPr>
            <w:noProof/>
            <w:webHidden/>
          </w:rPr>
        </w:r>
        <w:r>
          <w:rPr>
            <w:noProof/>
            <w:webHidden/>
          </w:rPr>
          <w:fldChar w:fldCharType="separate"/>
        </w:r>
        <w:r>
          <w:rPr>
            <w:noProof/>
            <w:webHidden/>
          </w:rPr>
          <w:t>ix</w:t>
        </w:r>
        <w:r>
          <w:rPr>
            <w:noProof/>
            <w:webHidden/>
          </w:rPr>
          <w:fldChar w:fldCharType="end"/>
        </w:r>
      </w:hyperlink>
    </w:p>
    <w:p w14:paraId="528D5962" w14:textId="57CDF6B5"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59" w:history="1">
        <w:r w:rsidRPr="00AE3CD3">
          <w:rPr>
            <w:rStyle w:val="Hyperlink"/>
            <w:noProof/>
          </w:rPr>
          <w:t>Figure 5. LOLE as a Function of Winter Reserve Margin</w:t>
        </w:r>
        <w:r>
          <w:rPr>
            <w:noProof/>
            <w:webHidden/>
          </w:rPr>
          <w:tab/>
        </w:r>
        <w:r>
          <w:rPr>
            <w:noProof/>
            <w:webHidden/>
          </w:rPr>
          <w:fldChar w:fldCharType="begin"/>
        </w:r>
        <w:r>
          <w:rPr>
            <w:noProof/>
            <w:webHidden/>
          </w:rPr>
          <w:instrText xml:space="preserve"> PAGEREF _Toc187234659 \h </w:instrText>
        </w:r>
        <w:r>
          <w:rPr>
            <w:noProof/>
            <w:webHidden/>
          </w:rPr>
        </w:r>
        <w:r>
          <w:rPr>
            <w:noProof/>
            <w:webHidden/>
          </w:rPr>
          <w:fldChar w:fldCharType="separate"/>
        </w:r>
        <w:r>
          <w:rPr>
            <w:noProof/>
            <w:webHidden/>
          </w:rPr>
          <w:t>x</w:t>
        </w:r>
        <w:r>
          <w:rPr>
            <w:noProof/>
            <w:webHidden/>
          </w:rPr>
          <w:fldChar w:fldCharType="end"/>
        </w:r>
      </w:hyperlink>
    </w:p>
    <w:p w14:paraId="13AAD3CE" w14:textId="451372CB"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60" w:history="1">
        <w:r w:rsidRPr="00AE3CD3">
          <w:rPr>
            <w:rStyle w:val="Hyperlink"/>
            <w:noProof/>
          </w:rPr>
          <w:t>Figure 6. Summer Target Reserve Margin Floor</w:t>
        </w:r>
        <w:r>
          <w:rPr>
            <w:noProof/>
            <w:webHidden/>
          </w:rPr>
          <w:tab/>
        </w:r>
        <w:r>
          <w:rPr>
            <w:noProof/>
            <w:webHidden/>
          </w:rPr>
          <w:fldChar w:fldCharType="begin"/>
        </w:r>
        <w:r>
          <w:rPr>
            <w:noProof/>
            <w:webHidden/>
          </w:rPr>
          <w:instrText xml:space="preserve"> PAGEREF _Toc187234660 \h </w:instrText>
        </w:r>
        <w:r>
          <w:rPr>
            <w:noProof/>
            <w:webHidden/>
          </w:rPr>
        </w:r>
        <w:r>
          <w:rPr>
            <w:noProof/>
            <w:webHidden/>
          </w:rPr>
          <w:fldChar w:fldCharType="separate"/>
        </w:r>
        <w:r>
          <w:rPr>
            <w:noProof/>
            <w:webHidden/>
          </w:rPr>
          <w:t>xii</w:t>
        </w:r>
        <w:r>
          <w:rPr>
            <w:noProof/>
            <w:webHidden/>
          </w:rPr>
          <w:fldChar w:fldCharType="end"/>
        </w:r>
      </w:hyperlink>
    </w:p>
    <w:p w14:paraId="1B8C3917" w14:textId="43242C47"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61" w:history="1">
        <w:r w:rsidRPr="00AE3CD3">
          <w:rPr>
            <w:rStyle w:val="Hyperlink"/>
            <w:noProof/>
          </w:rPr>
          <w:t>Figure I.1. Historical Low Winter Temperatures</w:t>
        </w:r>
        <w:r>
          <w:rPr>
            <w:noProof/>
            <w:webHidden/>
          </w:rPr>
          <w:tab/>
        </w:r>
        <w:r>
          <w:rPr>
            <w:noProof/>
            <w:webHidden/>
          </w:rPr>
          <w:fldChar w:fldCharType="begin"/>
        </w:r>
        <w:r>
          <w:rPr>
            <w:noProof/>
            <w:webHidden/>
          </w:rPr>
          <w:instrText xml:space="preserve"> PAGEREF _Toc187234661 \h </w:instrText>
        </w:r>
        <w:r>
          <w:rPr>
            <w:noProof/>
            <w:webHidden/>
          </w:rPr>
        </w:r>
        <w:r>
          <w:rPr>
            <w:noProof/>
            <w:webHidden/>
          </w:rPr>
          <w:fldChar w:fldCharType="separate"/>
        </w:r>
        <w:r>
          <w:rPr>
            <w:noProof/>
            <w:webHidden/>
          </w:rPr>
          <w:t>3</w:t>
        </w:r>
        <w:r>
          <w:rPr>
            <w:noProof/>
            <w:webHidden/>
          </w:rPr>
          <w:fldChar w:fldCharType="end"/>
        </w:r>
      </w:hyperlink>
    </w:p>
    <w:p w14:paraId="6D76E41F" w14:textId="5C8AD924"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62" w:history="1">
        <w:r w:rsidRPr="00AE3CD3">
          <w:rPr>
            <w:rStyle w:val="Hyperlink"/>
            <w:noProof/>
          </w:rPr>
          <w:t>Figure I.2 Historical High Summer Temperatures</w:t>
        </w:r>
        <w:r>
          <w:rPr>
            <w:noProof/>
            <w:webHidden/>
          </w:rPr>
          <w:tab/>
        </w:r>
        <w:r>
          <w:rPr>
            <w:noProof/>
            <w:webHidden/>
          </w:rPr>
          <w:fldChar w:fldCharType="begin"/>
        </w:r>
        <w:r>
          <w:rPr>
            <w:noProof/>
            <w:webHidden/>
          </w:rPr>
          <w:instrText xml:space="preserve"> PAGEREF _Toc187234662 \h </w:instrText>
        </w:r>
        <w:r>
          <w:rPr>
            <w:noProof/>
            <w:webHidden/>
          </w:rPr>
        </w:r>
        <w:r>
          <w:rPr>
            <w:noProof/>
            <w:webHidden/>
          </w:rPr>
          <w:fldChar w:fldCharType="separate"/>
        </w:r>
        <w:r>
          <w:rPr>
            <w:noProof/>
            <w:webHidden/>
          </w:rPr>
          <w:t>4</w:t>
        </w:r>
        <w:r>
          <w:rPr>
            <w:noProof/>
            <w:webHidden/>
          </w:rPr>
          <w:fldChar w:fldCharType="end"/>
        </w:r>
      </w:hyperlink>
    </w:p>
    <w:p w14:paraId="051A5F05" w14:textId="740A1CBB"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63" w:history="1">
        <w:r w:rsidRPr="00AE3CD3">
          <w:rPr>
            <w:rStyle w:val="Hyperlink"/>
            <w:noProof/>
          </w:rPr>
          <w:t>Figure I.3 Distribution of Modeled Summer and Winter Peak Loads</w:t>
        </w:r>
        <w:r>
          <w:rPr>
            <w:noProof/>
            <w:webHidden/>
          </w:rPr>
          <w:tab/>
        </w:r>
        <w:r>
          <w:rPr>
            <w:noProof/>
            <w:webHidden/>
          </w:rPr>
          <w:fldChar w:fldCharType="begin"/>
        </w:r>
        <w:r>
          <w:rPr>
            <w:noProof/>
            <w:webHidden/>
          </w:rPr>
          <w:instrText xml:space="preserve"> PAGEREF _Toc187234663 \h </w:instrText>
        </w:r>
        <w:r>
          <w:rPr>
            <w:noProof/>
            <w:webHidden/>
          </w:rPr>
        </w:r>
        <w:r>
          <w:rPr>
            <w:noProof/>
            <w:webHidden/>
          </w:rPr>
          <w:fldChar w:fldCharType="separate"/>
        </w:r>
        <w:r>
          <w:rPr>
            <w:noProof/>
            <w:webHidden/>
          </w:rPr>
          <w:t>5</w:t>
        </w:r>
        <w:r>
          <w:rPr>
            <w:noProof/>
            <w:webHidden/>
          </w:rPr>
          <w:fldChar w:fldCharType="end"/>
        </w:r>
      </w:hyperlink>
    </w:p>
    <w:p w14:paraId="5FBBE9B4" w14:textId="3E9ABEC5"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64" w:history="1">
        <w:r w:rsidRPr="00AE3CD3">
          <w:rPr>
            <w:rStyle w:val="Hyperlink"/>
            <w:noProof/>
          </w:rPr>
          <w:t>Figure I.4. Simulation Topology</w:t>
        </w:r>
        <w:r>
          <w:rPr>
            <w:noProof/>
            <w:webHidden/>
          </w:rPr>
          <w:tab/>
        </w:r>
        <w:r>
          <w:rPr>
            <w:noProof/>
            <w:webHidden/>
          </w:rPr>
          <w:fldChar w:fldCharType="begin"/>
        </w:r>
        <w:r>
          <w:rPr>
            <w:noProof/>
            <w:webHidden/>
          </w:rPr>
          <w:instrText xml:space="preserve"> PAGEREF _Toc187234664 \h </w:instrText>
        </w:r>
        <w:r>
          <w:rPr>
            <w:noProof/>
            <w:webHidden/>
          </w:rPr>
        </w:r>
        <w:r>
          <w:rPr>
            <w:noProof/>
            <w:webHidden/>
          </w:rPr>
          <w:fldChar w:fldCharType="separate"/>
        </w:r>
        <w:r>
          <w:rPr>
            <w:noProof/>
            <w:webHidden/>
          </w:rPr>
          <w:t>9</w:t>
        </w:r>
        <w:r>
          <w:rPr>
            <w:noProof/>
            <w:webHidden/>
          </w:rPr>
          <w:fldChar w:fldCharType="end"/>
        </w:r>
      </w:hyperlink>
    </w:p>
    <w:p w14:paraId="470182A5" w14:textId="2FD38ADE"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65" w:history="1">
        <w:r w:rsidRPr="00AE3CD3">
          <w:rPr>
            <w:rStyle w:val="Hyperlink"/>
            <w:noProof/>
          </w:rPr>
          <w:t>Figure I.5. Scarcity Pricing Curve</w:t>
        </w:r>
        <w:r>
          <w:rPr>
            <w:noProof/>
            <w:webHidden/>
          </w:rPr>
          <w:tab/>
        </w:r>
        <w:r>
          <w:rPr>
            <w:noProof/>
            <w:webHidden/>
          </w:rPr>
          <w:fldChar w:fldCharType="begin"/>
        </w:r>
        <w:r>
          <w:rPr>
            <w:noProof/>
            <w:webHidden/>
          </w:rPr>
          <w:instrText xml:space="preserve"> PAGEREF _Toc187234665 \h </w:instrText>
        </w:r>
        <w:r>
          <w:rPr>
            <w:noProof/>
            <w:webHidden/>
          </w:rPr>
        </w:r>
        <w:r>
          <w:rPr>
            <w:noProof/>
            <w:webHidden/>
          </w:rPr>
          <w:fldChar w:fldCharType="separate"/>
        </w:r>
        <w:r>
          <w:rPr>
            <w:noProof/>
            <w:webHidden/>
          </w:rPr>
          <w:t>11</w:t>
        </w:r>
        <w:r>
          <w:rPr>
            <w:noProof/>
            <w:webHidden/>
          </w:rPr>
          <w:fldChar w:fldCharType="end"/>
        </w:r>
      </w:hyperlink>
    </w:p>
    <w:p w14:paraId="1FFDCF22" w14:textId="3BF5DFAD"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66" w:history="1">
        <w:r w:rsidRPr="00AE3CD3">
          <w:rPr>
            <w:rStyle w:val="Hyperlink"/>
            <w:noProof/>
          </w:rPr>
          <w:t>Figure I.6. Historical Forecasted Weather Normal Peak Loads</w:t>
        </w:r>
        <w:r>
          <w:rPr>
            <w:noProof/>
            <w:webHidden/>
          </w:rPr>
          <w:tab/>
        </w:r>
        <w:r>
          <w:rPr>
            <w:noProof/>
            <w:webHidden/>
          </w:rPr>
          <w:fldChar w:fldCharType="begin"/>
        </w:r>
        <w:r>
          <w:rPr>
            <w:noProof/>
            <w:webHidden/>
          </w:rPr>
          <w:instrText xml:space="preserve"> PAGEREF _Toc187234666 \h </w:instrText>
        </w:r>
        <w:r>
          <w:rPr>
            <w:noProof/>
            <w:webHidden/>
          </w:rPr>
        </w:r>
        <w:r>
          <w:rPr>
            <w:noProof/>
            <w:webHidden/>
          </w:rPr>
          <w:fldChar w:fldCharType="separate"/>
        </w:r>
        <w:r>
          <w:rPr>
            <w:noProof/>
            <w:webHidden/>
          </w:rPr>
          <w:t>13</w:t>
        </w:r>
        <w:r>
          <w:rPr>
            <w:noProof/>
            <w:webHidden/>
          </w:rPr>
          <w:fldChar w:fldCharType="end"/>
        </w:r>
      </w:hyperlink>
    </w:p>
    <w:p w14:paraId="67000100" w14:textId="58FEE15F"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67" w:history="1">
        <w:r w:rsidRPr="00AE3CD3">
          <w:rPr>
            <w:rStyle w:val="Hyperlink"/>
            <w:noProof/>
          </w:rPr>
          <w:t>Figure I.7. Ambient Temperature Output Curves</w:t>
        </w:r>
        <w:r>
          <w:rPr>
            <w:noProof/>
            <w:webHidden/>
          </w:rPr>
          <w:tab/>
        </w:r>
        <w:r>
          <w:rPr>
            <w:noProof/>
            <w:webHidden/>
          </w:rPr>
          <w:fldChar w:fldCharType="begin"/>
        </w:r>
        <w:r>
          <w:rPr>
            <w:noProof/>
            <w:webHidden/>
          </w:rPr>
          <w:instrText xml:space="preserve"> PAGEREF _Toc187234667 \h </w:instrText>
        </w:r>
        <w:r>
          <w:rPr>
            <w:noProof/>
            <w:webHidden/>
          </w:rPr>
        </w:r>
        <w:r>
          <w:rPr>
            <w:noProof/>
            <w:webHidden/>
          </w:rPr>
          <w:fldChar w:fldCharType="separate"/>
        </w:r>
        <w:r>
          <w:rPr>
            <w:noProof/>
            <w:webHidden/>
          </w:rPr>
          <w:t>16</w:t>
        </w:r>
        <w:r>
          <w:rPr>
            <w:noProof/>
            <w:webHidden/>
          </w:rPr>
          <w:fldChar w:fldCharType="end"/>
        </w:r>
      </w:hyperlink>
    </w:p>
    <w:p w14:paraId="063338F1" w14:textId="4C32CA10"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68" w:history="1">
        <w:r w:rsidRPr="00AE3CD3">
          <w:rPr>
            <w:rStyle w:val="Hyperlink"/>
            <w:noProof/>
          </w:rPr>
          <w:t>Figure I.8. Modeled vs Actual Unplanned Outage Probability</w:t>
        </w:r>
        <w:r>
          <w:rPr>
            <w:noProof/>
            <w:webHidden/>
          </w:rPr>
          <w:tab/>
        </w:r>
        <w:r>
          <w:rPr>
            <w:noProof/>
            <w:webHidden/>
          </w:rPr>
          <w:fldChar w:fldCharType="begin"/>
        </w:r>
        <w:r>
          <w:rPr>
            <w:noProof/>
            <w:webHidden/>
          </w:rPr>
          <w:instrText xml:space="preserve"> PAGEREF _Toc187234668 \h </w:instrText>
        </w:r>
        <w:r>
          <w:rPr>
            <w:noProof/>
            <w:webHidden/>
          </w:rPr>
        </w:r>
        <w:r>
          <w:rPr>
            <w:noProof/>
            <w:webHidden/>
          </w:rPr>
          <w:fldChar w:fldCharType="separate"/>
        </w:r>
        <w:r>
          <w:rPr>
            <w:noProof/>
            <w:webHidden/>
          </w:rPr>
          <w:t>20</w:t>
        </w:r>
        <w:r>
          <w:rPr>
            <w:noProof/>
            <w:webHidden/>
          </w:rPr>
          <w:fldChar w:fldCharType="end"/>
        </w:r>
      </w:hyperlink>
    </w:p>
    <w:p w14:paraId="761C2427" w14:textId="105D568B"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69" w:history="1">
        <w:r w:rsidRPr="00AE3CD3">
          <w:rPr>
            <w:rStyle w:val="Hyperlink"/>
            <w:noProof/>
          </w:rPr>
          <w:t>Figure I.9. Cold Weather Outage Assumptions</w:t>
        </w:r>
        <w:r>
          <w:rPr>
            <w:noProof/>
            <w:webHidden/>
          </w:rPr>
          <w:tab/>
        </w:r>
        <w:r>
          <w:rPr>
            <w:noProof/>
            <w:webHidden/>
          </w:rPr>
          <w:fldChar w:fldCharType="begin"/>
        </w:r>
        <w:r>
          <w:rPr>
            <w:noProof/>
            <w:webHidden/>
          </w:rPr>
          <w:instrText xml:space="preserve"> PAGEREF _Toc187234669 \h </w:instrText>
        </w:r>
        <w:r>
          <w:rPr>
            <w:noProof/>
            <w:webHidden/>
          </w:rPr>
        </w:r>
        <w:r>
          <w:rPr>
            <w:noProof/>
            <w:webHidden/>
          </w:rPr>
          <w:fldChar w:fldCharType="separate"/>
        </w:r>
        <w:r>
          <w:rPr>
            <w:noProof/>
            <w:webHidden/>
          </w:rPr>
          <w:t>21</w:t>
        </w:r>
        <w:r>
          <w:rPr>
            <w:noProof/>
            <w:webHidden/>
          </w:rPr>
          <w:fldChar w:fldCharType="end"/>
        </w:r>
      </w:hyperlink>
    </w:p>
    <w:p w14:paraId="30A3EB9F" w14:textId="790C39FA"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70" w:history="1">
        <w:r w:rsidRPr="00AE3CD3">
          <w:rPr>
            <w:rStyle w:val="Hyperlink"/>
            <w:noProof/>
          </w:rPr>
          <w:t>Figure I.10 Cold Weather Outage Assumptions</w:t>
        </w:r>
        <w:r>
          <w:rPr>
            <w:noProof/>
            <w:webHidden/>
          </w:rPr>
          <w:tab/>
        </w:r>
        <w:r>
          <w:rPr>
            <w:noProof/>
            <w:webHidden/>
          </w:rPr>
          <w:fldChar w:fldCharType="begin"/>
        </w:r>
        <w:r>
          <w:rPr>
            <w:noProof/>
            <w:webHidden/>
          </w:rPr>
          <w:instrText xml:space="preserve"> PAGEREF _Toc187234670 \h </w:instrText>
        </w:r>
        <w:r>
          <w:rPr>
            <w:noProof/>
            <w:webHidden/>
          </w:rPr>
        </w:r>
        <w:r>
          <w:rPr>
            <w:noProof/>
            <w:webHidden/>
          </w:rPr>
          <w:fldChar w:fldCharType="separate"/>
        </w:r>
        <w:r>
          <w:rPr>
            <w:noProof/>
            <w:webHidden/>
          </w:rPr>
          <w:t>22</w:t>
        </w:r>
        <w:r>
          <w:rPr>
            <w:noProof/>
            <w:webHidden/>
          </w:rPr>
          <w:fldChar w:fldCharType="end"/>
        </w:r>
      </w:hyperlink>
    </w:p>
    <w:p w14:paraId="1B930B8E" w14:textId="542FE475"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71" w:history="1">
        <w:r w:rsidRPr="00AE3CD3">
          <w:rPr>
            <w:rStyle w:val="Hyperlink"/>
            <w:noProof/>
          </w:rPr>
          <w:t>Figure I.11. Maintenance Outage Probability by Month</w:t>
        </w:r>
        <w:r>
          <w:rPr>
            <w:noProof/>
            <w:webHidden/>
          </w:rPr>
          <w:tab/>
        </w:r>
        <w:r>
          <w:rPr>
            <w:noProof/>
            <w:webHidden/>
          </w:rPr>
          <w:fldChar w:fldCharType="begin"/>
        </w:r>
        <w:r>
          <w:rPr>
            <w:noProof/>
            <w:webHidden/>
          </w:rPr>
          <w:instrText xml:space="preserve"> PAGEREF _Toc187234671 \h </w:instrText>
        </w:r>
        <w:r>
          <w:rPr>
            <w:noProof/>
            <w:webHidden/>
          </w:rPr>
        </w:r>
        <w:r>
          <w:rPr>
            <w:noProof/>
            <w:webHidden/>
          </w:rPr>
          <w:fldChar w:fldCharType="separate"/>
        </w:r>
        <w:r>
          <w:rPr>
            <w:noProof/>
            <w:webHidden/>
          </w:rPr>
          <w:t>24</w:t>
        </w:r>
        <w:r>
          <w:rPr>
            <w:noProof/>
            <w:webHidden/>
          </w:rPr>
          <w:fldChar w:fldCharType="end"/>
        </w:r>
      </w:hyperlink>
    </w:p>
    <w:p w14:paraId="732F036D" w14:textId="0443AFF2"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72" w:history="1">
        <w:r w:rsidRPr="00AE3CD3">
          <w:rPr>
            <w:rStyle w:val="Hyperlink"/>
            <w:noProof/>
          </w:rPr>
          <w:t>Figure I.12. System Dispatch Stack</w:t>
        </w:r>
        <w:r>
          <w:rPr>
            <w:noProof/>
            <w:webHidden/>
          </w:rPr>
          <w:tab/>
        </w:r>
        <w:r>
          <w:rPr>
            <w:noProof/>
            <w:webHidden/>
          </w:rPr>
          <w:fldChar w:fldCharType="begin"/>
        </w:r>
        <w:r>
          <w:rPr>
            <w:noProof/>
            <w:webHidden/>
          </w:rPr>
          <w:instrText xml:space="preserve"> PAGEREF _Toc187234672 \h </w:instrText>
        </w:r>
        <w:r>
          <w:rPr>
            <w:noProof/>
            <w:webHidden/>
          </w:rPr>
        </w:r>
        <w:r>
          <w:rPr>
            <w:noProof/>
            <w:webHidden/>
          </w:rPr>
          <w:fldChar w:fldCharType="separate"/>
        </w:r>
        <w:r>
          <w:rPr>
            <w:noProof/>
            <w:webHidden/>
          </w:rPr>
          <w:t>26</w:t>
        </w:r>
        <w:r>
          <w:rPr>
            <w:noProof/>
            <w:webHidden/>
          </w:rPr>
          <w:fldChar w:fldCharType="end"/>
        </w:r>
      </w:hyperlink>
    </w:p>
    <w:p w14:paraId="6DA35951" w14:textId="2A63A42F"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73" w:history="1">
        <w:r w:rsidRPr="00AE3CD3">
          <w:rPr>
            <w:rStyle w:val="Hyperlink"/>
            <w:noProof/>
          </w:rPr>
          <w:t>Figure I.13. Average Hydro Energy Availability</w:t>
        </w:r>
        <w:r>
          <w:rPr>
            <w:noProof/>
            <w:webHidden/>
          </w:rPr>
          <w:tab/>
        </w:r>
        <w:r>
          <w:rPr>
            <w:noProof/>
            <w:webHidden/>
          </w:rPr>
          <w:fldChar w:fldCharType="begin"/>
        </w:r>
        <w:r>
          <w:rPr>
            <w:noProof/>
            <w:webHidden/>
          </w:rPr>
          <w:instrText xml:space="preserve"> PAGEREF _Toc187234673 \h </w:instrText>
        </w:r>
        <w:r>
          <w:rPr>
            <w:noProof/>
            <w:webHidden/>
          </w:rPr>
        </w:r>
        <w:r>
          <w:rPr>
            <w:noProof/>
            <w:webHidden/>
          </w:rPr>
          <w:fldChar w:fldCharType="separate"/>
        </w:r>
        <w:r>
          <w:rPr>
            <w:noProof/>
            <w:webHidden/>
          </w:rPr>
          <w:t>29</w:t>
        </w:r>
        <w:r>
          <w:rPr>
            <w:noProof/>
            <w:webHidden/>
          </w:rPr>
          <w:fldChar w:fldCharType="end"/>
        </w:r>
      </w:hyperlink>
    </w:p>
    <w:p w14:paraId="2EA667D8" w14:textId="4665EF87"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74" w:history="1">
        <w:r w:rsidRPr="00AE3CD3">
          <w:rPr>
            <w:rStyle w:val="Hyperlink"/>
            <w:noProof/>
          </w:rPr>
          <w:t>Figure I.14. Annual Scheduled Hydro Energies</w:t>
        </w:r>
        <w:r>
          <w:rPr>
            <w:noProof/>
            <w:webHidden/>
          </w:rPr>
          <w:tab/>
        </w:r>
        <w:r>
          <w:rPr>
            <w:noProof/>
            <w:webHidden/>
          </w:rPr>
          <w:fldChar w:fldCharType="begin"/>
        </w:r>
        <w:r>
          <w:rPr>
            <w:noProof/>
            <w:webHidden/>
          </w:rPr>
          <w:instrText xml:space="preserve"> PAGEREF _Toc187234674 \h </w:instrText>
        </w:r>
        <w:r>
          <w:rPr>
            <w:noProof/>
            <w:webHidden/>
          </w:rPr>
        </w:r>
        <w:r>
          <w:rPr>
            <w:noProof/>
            <w:webHidden/>
          </w:rPr>
          <w:fldChar w:fldCharType="separate"/>
        </w:r>
        <w:r>
          <w:rPr>
            <w:noProof/>
            <w:webHidden/>
          </w:rPr>
          <w:t>30</w:t>
        </w:r>
        <w:r>
          <w:rPr>
            <w:noProof/>
            <w:webHidden/>
          </w:rPr>
          <w:fldChar w:fldCharType="end"/>
        </w:r>
      </w:hyperlink>
    </w:p>
    <w:p w14:paraId="40EAA734" w14:textId="5DD626F8"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75" w:history="1">
        <w:r w:rsidRPr="00AE3CD3">
          <w:rPr>
            <w:rStyle w:val="Hyperlink"/>
            <w:noProof/>
          </w:rPr>
          <w:t>Figure I.15 Solar Resource Penetration</w:t>
        </w:r>
        <w:r>
          <w:rPr>
            <w:noProof/>
            <w:webHidden/>
          </w:rPr>
          <w:tab/>
        </w:r>
        <w:r>
          <w:rPr>
            <w:noProof/>
            <w:webHidden/>
          </w:rPr>
          <w:fldChar w:fldCharType="begin"/>
        </w:r>
        <w:r>
          <w:rPr>
            <w:noProof/>
            <w:webHidden/>
          </w:rPr>
          <w:instrText xml:space="preserve"> PAGEREF _Toc187234675 \h </w:instrText>
        </w:r>
        <w:r>
          <w:rPr>
            <w:noProof/>
            <w:webHidden/>
          </w:rPr>
        </w:r>
        <w:r>
          <w:rPr>
            <w:noProof/>
            <w:webHidden/>
          </w:rPr>
          <w:fldChar w:fldCharType="separate"/>
        </w:r>
        <w:r>
          <w:rPr>
            <w:noProof/>
            <w:webHidden/>
          </w:rPr>
          <w:t>33</w:t>
        </w:r>
        <w:r>
          <w:rPr>
            <w:noProof/>
            <w:webHidden/>
          </w:rPr>
          <w:fldChar w:fldCharType="end"/>
        </w:r>
      </w:hyperlink>
    </w:p>
    <w:p w14:paraId="051D58A6" w14:textId="5F5795AF"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76" w:history="1">
        <w:r w:rsidRPr="00AE3CD3">
          <w:rPr>
            <w:rStyle w:val="Hyperlink"/>
            <w:noProof/>
          </w:rPr>
          <w:t>Figure I.16. Interruptible Gas Transportation Availability Model</w:t>
        </w:r>
        <w:r>
          <w:rPr>
            <w:noProof/>
            <w:webHidden/>
          </w:rPr>
          <w:tab/>
        </w:r>
        <w:r>
          <w:rPr>
            <w:noProof/>
            <w:webHidden/>
          </w:rPr>
          <w:fldChar w:fldCharType="begin"/>
        </w:r>
        <w:r>
          <w:rPr>
            <w:noProof/>
            <w:webHidden/>
          </w:rPr>
          <w:instrText xml:space="preserve"> PAGEREF _Toc187234676 \h </w:instrText>
        </w:r>
        <w:r>
          <w:rPr>
            <w:noProof/>
            <w:webHidden/>
          </w:rPr>
        </w:r>
        <w:r>
          <w:rPr>
            <w:noProof/>
            <w:webHidden/>
          </w:rPr>
          <w:fldChar w:fldCharType="separate"/>
        </w:r>
        <w:r>
          <w:rPr>
            <w:noProof/>
            <w:webHidden/>
          </w:rPr>
          <w:t>34</w:t>
        </w:r>
        <w:r>
          <w:rPr>
            <w:noProof/>
            <w:webHidden/>
          </w:rPr>
          <w:fldChar w:fldCharType="end"/>
        </w:r>
      </w:hyperlink>
    </w:p>
    <w:p w14:paraId="51DE9B37" w14:textId="622B9ED5"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77" w:history="1">
        <w:r w:rsidRPr="00AE3CD3">
          <w:rPr>
            <w:rStyle w:val="Hyperlink"/>
            <w:noProof/>
          </w:rPr>
          <w:t>Figure II.1 Variable Calculation Formula</w:t>
        </w:r>
        <w:r>
          <w:rPr>
            <w:noProof/>
            <w:webHidden/>
          </w:rPr>
          <w:tab/>
        </w:r>
        <w:r>
          <w:rPr>
            <w:noProof/>
            <w:webHidden/>
          </w:rPr>
          <w:fldChar w:fldCharType="begin"/>
        </w:r>
        <w:r>
          <w:rPr>
            <w:noProof/>
            <w:webHidden/>
          </w:rPr>
          <w:instrText xml:space="preserve"> PAGEREF _Toc187234677 \h </w:instrText>
        </w:r>
        <w:r>
          <w:rPr>
            <w:noProof/>
            <w:webHidden/>
          </w:rPr>
        </w:r>
        <w:r>
          <w:rPr>
            <w:noProof/>
            <w:webHidden/>
          </w:rPr>
          <w:fldChar w:fldCharType="separate"/>
        </w:r>
        <w:r>
          <w:rPr>
            <w:noProof/>
            <w:webHidden/>
          </w:rPr>
          <w:t>40</w:t>
        </w:r>
        <w:r>
          <w:rPr>
            <w:noProof/>
            <w:webHidden/>
          </w:rPr>
          <w:fldChar w:fldCharType="end"/>
        </w:r>
      </w:hyperlink>
    </w:p>
    <w:p w14:paraId="63F56EAF" w14:textId="1E77CA7B"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78" w:history="1">
        <w:r w:rsidRPr="00AE3CD3">
          <w:rPr>
            <w:rStyle w:val="Hyperlink"/>
            <w:noProof/>
          </w:rPr>
          <w:t>Figure III.1. Winter EORM U-Curve</w:t>
        </w:r>
        <w:r>
          <w:rPr>
            <w:noProof/>
            <w:webHidden/>
          </w:rPr>
          <w:tab/>
        </w:r>
        <w:r>
          <w:rPr>
            <w:noProof/>
            <w:webHidden/>
          </w:rPr>
          <w:fldChar w:fldCharType="begin"/>
        </w:r>
        <w:r>
          <w:rPr>
            <w:noProof/>
            <w:webHidden/>
          </w:rPr>
          <w:instrText xml:space="preserve"> PAGEREF _Toc187234678 \h </w:instrText>
        </w:r>
        <w:r>
          <w:rPr>
            <w:noProof/>
            <w:webHidden/>
          </w:rPr>
        </w:r>
        <w:r>
          <w:rPr>
            <w:noProof/>
            <w:webHidden/>
          </w:rPr>
          <w:fldChar w:fldCharType="separate"/>
        </w:r>
        <w:r>
          <w:rPr>
            <w:noProof/>
            <w:webHidden/>
          </w:rPr>
          <w:t>44</w:t>
        </w:r>
        <w:r>
          <w:rPr>
            <w:noProof/>
            <w:webHidden/>
          </w:rPr>
          <w:fldChar w:fldCharType="end"/>
        </w:r>
      </w:hyperlink>
    </w:p>
    <w:p w14:paraId="59A42A61" w14:textId="6402BA37"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79" w:history="1">
        <w:r w:rsidRPr="00AE3CD3">
          <w:rPr>
            <w:rStyle w:val="Hyperlink"/>
            <w:noProof/>
          </w:rPr>
          <w:t>Figure III.2. Seasonal EUE by Reserve Margin</w:t>
        </w:r>
        <w:r>
          <w:rPr>
            <w:noProof/>
            <w:webHidden/>
          </w:rPr>
          <w:tab/>
        </w:r>
        <w:r>
          <w:rPr>
            <w:noProof/>
            <w:webHidden/>
          </w:rPr>
          <w:fldChar w:fldCharType="begin"/>
        </w:r>
        <w:r>
          <w:rPr>
            <w:noProof/>
            <w:webHidden/>
          </w:rPr>
          <w:instrText xml:space="preserve"> PAGEREF _Toc187234679 \h </w:instrText>
        </w:r>
        <w:r>
          <w:rPr>
            <w:noProof/>
            <w:webHidden/>
          </w:rPr>
        </w:r>
        <w:r>
          <w:rPr>
            <w:noProof/>
            <w:webHidden/>
          </w:rPr>
          <w:fldChar w:fldCharType="separate"/>
        </w:r>
        <w:r>
          <w:rPr>
            <w:noProof/>
            <w:webHidden/>
          </w:rPr>
          <w:t>46</w:t>
        </w:r>
        <w:r>
          <w:rPr>
            <w:noProof/>
            <w:webHidden/>
          </w:rPr>
          <w:fldChar w:fldCharType="end"/>
        </w:r>
      </w:hyperlink>
    </w:p>
    <w:p w14:paraId="09FAC048" w14:textId="5AAAC3F1"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80" w:history="1">
        <w:r w:rsidRPr="00AE3CD3">
          <w:rPr>
            <w:rStyle w:val="Hyperlink"/>
            <w:noProof/>
          </w:rPr>
          <w:t>Figure III.3. Summer-only EORM U-Curve (Without Winter Months)</w:t>
        </w:r>
        <w:r>
          <w:rPr>
            <w:noProof/>
            <w:webHidden/>
          </w:rPr>
          <w:tab/>
        </w:r>
        <w:r>
          <w:rPr>
            <w:noProof/>
            <w:webHidden/>
          </w:rPr>
          <w:fldChar w:fldCharType="begin"/>
        </w:r>
        <w:r>
          <w:rPr>
            <w:noProof/>
            <w:webHidden/>
          </w:rPr>
          <w:instrText xml:space="preserve"> PAGEREF _Toc187234680 \h </w:instrText>
        </w:r>
        <w:r>
          <w:rPr>
            <w:noProof/>
            <w:webHidden/>
          </w:rPr>
        </w:r>
        <w:r>
          <w:rPr>
            <w:noProof/>
            <w:webHidden/>
          </w:rPr>
          <w:fldChar w:fldCharType="separate"/>
        </w:r>
        <w:r>
          <w:rPr>
            <w:noProof/>
            <w:webHidden/>
          </w:rPr>
          <w:t>47</w:t>
        </w:r>
        <w:r>
          <w:rPr>
            <w:noProof/>
            <w:webHidden/>
          </w:rPr>
          <w:fldChar w:fldCharType="end"/>
        </w:r>
      </w:hyperlink>
    </w:p>
    <w:p w14:paraId="73AF32FD" w14:textId="73502C34"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81" w:history="1">
        <w:r w:rsidRPr="00AE3CD3">
          <w:rPr>
            <w:rStyle w:val="Hyperlink"/>
            <w:noProof/>
          </w:rPr>
          <w:t>Figure III.4. Average Monthly Energy Purchases by Reserve Margin</w:t>
        </w:r>
        <w:r>
          <w:rPr>
            <w:noProof/>
            <w:webHidden/>
          </w:rPr>
          <w:tab/>
        </w:r>
        <w:r>
          <w:rPr>
            <w:noProof/>
            <w:webHidden/>
          </w:rPr>
          <w:fldChar w:fldCharType="begin"/>
        </w:r>
        <w:r>
          <w:rPr>
            <w:noProof/>
            <w:webHidden/>
          </w:rPr>
          <w:instrText xml:space="preserve"> PAGEREF _Toc187234681 \h </w:instrText>
        </w:r>
        <w:r>
          <w:rPr>
            <w:noProof/>
            <w:webHidden/>
          </w:rPr>
        </w:r>
        <w:r>
          <w:rPr>
            <w:noProof/>
            <w:webHidden/>
          </w:rPr>
          <w:fldChar w:fldCharType="separate"/>
        </w:r>
        <w:r>
          <w:rPr>
            <w:noProof/>
            <w:webHidden/>
          </w:rPr>
          <w:t>48</w:t>
        </w:r>
        <w:r>
          <w:rPr>
            <w:noProof/>
            <w:webHidden/>
          </w:rPr>
          <w:fldChar w:fldCharType="end"/>
        </w:r>
      </w:hyperlink>
    </w:p>
    <w:p w14:paraId="234413E4" w14:textId="34BC17CF"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82" w:history="1">
        <w:r w:rsidRPr="00AE3CD3">
          <w:rPr>
            <w:rStyle w:val="Hyperlink"/>
            <w:noProof/>
          </w:rPr>
          <w:t>Figure III.5. Production and Reliability Cost Distributions for Winter Reserve Margins</w:t>
        </w:r>
        <w:r>
          <w:rPr>
            <w:noProof/>
            <w:webHidden/>
          </w:rPr>
          <w:tab/>
        </w:r>
        <w:r>
          <w:rPr>
            <w:noProof/>
            <w:webHidden/>
          </w:rPr>
          <w:fldChar w:fldCharType="begin"/>
        </w:r>
        <w:r>
          <w:rPr>
            <w:noProof/>
            <w:webHidden/>
          </w:rPr>
          <w:instrText xml:space="preserve"> PAGEREF _Toc187234682 \h </w:instrText>
        </w:r>
        <w:r>
          <w:rPr>
            <w:noProof/>
            <w:webHidden/>
          </w:rPr>
        </w:r>
        <w:r>
          <w:rPr>
            <w:noProof/>
            <w:webHidden/>
          </w:rPr>
          <w:fldChar w:fldCharType="separate"/>
        </w:r>
        <w:r>
          <w:rPr>
            <w:noProof/>
            <w:webHidden/>
          </w:rPr>
          <w:t>49</w:t>
        </w:r>
        <w:r>
          <w:rPr>
            <w:noProof/>
            <w:webHidden/>
          </w:rPr>
          <w:fldChar w:fldCharType="end"/>
        </w:r>
      </w:hyperlink>
    </w:p>
    <w:p w14:paraId="05BBCE99" w14:textId="3BBCE729"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83" w:history="1">
        <w:r w:rsidRPr="00AE3CD3">
          <w:rPr>
            <w:rStyle w:val="Hyperlink"/>
            <w:noProof/>
          </w:rPr>
          <w:t>Figure III.6. Top 10% Distribution for Winter Reserve Margins</w:t>
        </w:r>
        <w:r>
          <w:rPr>
            <w:noProof/>
            <w:webHidden/>
          </w:rPr>
          <w:tab/>
        </w:r>
        <w:r>
          <w:rPr>
            <w:noProof/>
            <w:webHidden/>
          </w:rPr>
          <w:fldChar w:fldCharType="begin"/>
        </w:r>
        <w:r>
          <w:rPr>
            <w:noProof/>
            <w:webHidden/>
          </w:rPr>
          <w:instrText xml:space="preserve"> PAGEREF _Toc187234683 \h </w:instrText>
        </w:r>
        <w:r>
          <w:rPr>
            <w:noProof/>
            <w:webHidden/>
          </w:rPr>
        </w:r>
        <w:r>
          <w:rPr>
            <w:noProof/>
            <w:webHidden/>
          </w:rPr>
          <w:fldChar w:fldCharType="separate"/>
        </w:r>
        <w:r>
          <w:rPr>
            <w:noProof/>
            <w:webHidden/>
          </w:rPr>
          <w:t>50</w:t>
        </w:r>
        <w:r>
          <w:rPr>
            <w:noProof/>
            <w:webHidden/>
          </w:rPr>
          <w:fldChar w:fldCharType="end"/>
        </w:r>
      </w:hyperlink>
    </w:p>
    <w:p w14:paraId="10F182F9" w14:textId="76E4889C"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84" w:history="1">
        <w:r w:rsidRPr="00AE3CD3">
          <w:rPr>
            <w:rStyle w:val="Hyperlink"/>
            <w:noProof/>
          </w:rPr>
          <w:t>Figure III.7 2021 vs 2024 Extreme Weather Load Shape Example</w:t>
        </w:r>
        <w:r>
          <w:rPr>
            <w:noProof/>
            <w:webHidden/>
          </w:rPr>
          <w:tab/>
        </w:r>
        <w:r>
          <w:rPr>
            <w:noProof/>
            <w:webHidden/>
          </w:rPr>
          <w:fldChar w:fldCharType="begin"/>
        </w:r>
        <w:r>
          <w:rPr>
            <w:noProof/>
            <w:webHidden/>
          </w:rPr>
          <w:instrText xml:space="preserve"> PAGEREF _Toc187234684 \h </w:instrText>
        </w:r>
        <w:r>
          <w:rPr>
            <w:noProof/>
            <w:webHidden/>
          </w:rPr>
        </w:r>
        <w:r>
          <w:rPr>
            <w:noProof/>
            <w:webHidden/>
          </w:rPr>
          <w:fldChar w:fldCharType="separate"/>
        </w:r>
        <w:r>
          <w:rPr>
            <w:noProof/>
            <w:webHidden/>
          </w:rPr>
          <w:t>54</w:t>
        </w:r>
        <w:r>
          <w:rPr>
            <w:noProof/>
            <w:webHidden/>
          </w:rPr>
          <w:fldChar w:fldCharType="end"/>
        </w:r>
      </w:hyperlink>
    </w:p>
    <w:p w14:paraId="1C3A5790" w14:textId="4074EB0D"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85" w:history="1">
        <w:r w:rsidRPr="00AE3CD3">
          <w:rPr>
            <w:rStyle w:val="Hyperlink"/>
            <w:noProof/>
          </w:rPr>
          <w:t>Figure III.8 LOLE for Winter Reserve Margins</w:t>
        </w:r>
        <w:r>
          <w:rPr>
            <w:noProof/>
            <w:webHidden/>
          </w:rPr>
          <w:tab/>
        </w:r>
        <w:r>
          <w:rPr>
            <w:noProof/>
            <w:webHidden/>
          </w:rPr>
          <w:fldChar w:fldCharType="begin"/>
        </w:r>
        <w:r>
          <w:rPr>
            <w:noProof/>
            <w:webHidden/>
          </w:rPr>
          <w:instrText xml:space="preserve"> PAGEREF _Toc187234685 \h </w:instrText>
        </w:r>
        <w:r>
          <w:rPr>
            <w:noProof/>
            <w:webHidden/>
          </w:rPr>
        </w:r>
        <w:r>
          <w:rPr>
            <w:noProof/>
            <w:webHidden/>
          </w:rPr>
          <w:fldChar w:fldCharType="separate"/>
        </w:r>
        <w:r>
          <w:rPr>
            <w:noProof/>
            <w:webHidden/>
          </w:rPr>
          <w:t>55</w:t>
        </w:r>
        <w:r>
          <w:rPr>
            <w:noProof/>
            <w:webHidden/>
          </w:rPr>
          <w:fldChar w:fldCharType="end"/>
        </w:r>
      </w:hyperlink>
    </w:p>
    <w:p w14:paraId="053DDF45" w14:textId="1225C41A"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86" w:history="1">
        <w:r w:rsidRPr="00AE3CD3">
          <w:rPr>
            <w:rStyle w:val="Hyperlink"/>
            <w:noProof/>
          </w:rPr>
          <w:t>Figure III.9 LOLE for Summer Reserve Margins</w:t>
        </w:r>
        <w:r>
          <w:rPr>
            <w:noProof/>
            <w:webHidden/>
          </w:rPr>
          <w:tab/>
        </w:r>
        <w:r>
          <w:rPr>
            <w:noProof/>
            <w:webHidden/>
          </w:rPr>
          <w:fldChar w:fldCharType="begin"/>
        </w:r>
        <w:r>
          <w:rPr>
            <w:noProof/>
            <w:webHidden/>
          </w:rPr>
          <w:instrText xml:space="preserve"> PAGEREF _Toc187234686 \h </w:instrText>
        </w:r>
        <w:r>
          <w:rPr>
            <w:noProof/>
            <w:webHidden/>
          </w:rPr>
        </w:r>
        <w:r>
          <w:rPr>
            <w:noProof/>
            <w:webHidden/>
          </w:rPr>
          <w:fldChar w:fldCharType="separate"/>
        </w:r>
        <w:r>
          <w:rPr>
            <w:noProof/>
            <w:webHidden/>
          </w:rPr>
          <w:t>57</w:t>
        </w:r>
        <w:r>
          <w:rPr>
            <w:noProof/>
            <w:webHidden/>
          </w:rPr>
          <w:fldChar w:fldCharType="end"/>
        </w:r>
      </w:hyperlink>
    </w:p>
    <w:p w14:paraId="31AB1722" w14:textId="510848E9"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87" w:history="1">
        <w:r w:rsidRPr="00AE3CD3">
          <w:rPr>
            <w:rStyle w:val="Hyperlink"/>
            <w:noProof/>
          </w:rPr>
          <w:t>Figure III.10. Incremental Capacity Cost (Winter Focus)</w:t>
        </w:r>
        <w:r>
          <w:rPr>
            <w:noProof/>
            <w:webHidden/>
          </w:rPr>
          <w:tab/>
        </w:r>
        <w:r>
          <w:rPr>
            <w:noProof/>
            <w:webHidden/>
          </w:rPr>
          <w:fldChar w:fldCharType="begin"/>
        </w:r>
        <w:r>
          <w:rPr>
            <w:noProof/>
            <w:webHidden/>
          </w:rPr>
          <w:instrText xml:space="preserve"> PAGEREF _Toc187234687 \h </w:instrText>
        </w:r>
        <w:r>
          <w:rPr>
            <w:noProof/>
            <w:webHidden/>
          </w:rPr>
        </w:r>
        <w:r>
          <w:rPr>
            <w:noProof/>
            <w:webHidden/>
          </w:rPr>
          <w:fldChar w:fldCharType="separate"/>
        </w:r>
        <w:r>
          <w:rPr>
            <w:noProof/>
            <w:webHidden/>
          </w:rPr>
          <w:t>59</w:t>
        </w:r>
        <w:r>
          <w:rPr>
            <w:noProof/>
            <w:webHidden/>
          </w:rPr>
          <w:fldChar w:fldCharType="end"/>
        </w:r>
      </w:hyperlink>
    </w:p>
    <w:p w14:paraId="0BA34E9E" w14:textId="6283E6DA"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88" w:history="1">
        <w:r w:rsidRPr="00AE3CD3">
          <w:rPr>
            <w:rStyle w:val="Hyperlink"/>
            <w:noProof/>
          </w:rPr>
          <w:t>Figure III.11. Reliability Cost</w:t>
        </w:r>
        <w:r>
          <w:rPr>
            <w:noProof/>
            <w:webHidden/>
          </w:rPr>
          <w:tab/>
        </w:r>
        <w:r>
          <w:rPr>
            <w:noProof/>
            <w:webHidden/>
          </w:rPr>
          <w:fldChar w:fldCharType="begin"/>
        </w:r>
        <w:r>
          <w:rPr>
            <w:noProof/>
            <w:webHidden/>
          </w:rPr>
          <w:instrText xml:space="preserve"> PAGEREF _Toc187234688 \h </w:instrText>
        </w:r>
        <w:r>
          <w:rPr>
            <w:noProof/>
            <w:webHidden/>
          </w:rPr>
        </w:r>
        <w:r>
          <w:rPr>
            <w:noProof/>
            <w:webHidden/>
          </w:rPr>
          <w:fldChar w:fldCharType="separate"/>
        </w:r>
        <w:r>
          <w:rPr>
            <w:noProof/>
            <w:webHidden/>
          </w:rPr>
          <w:t>60</w:t>
        </w:r>
        <w:r>
          <w:rPr>
            <w:noProof/>
            <w:webHidden/>
          </w:rPr>
          <w:fldChar w:fldCharType="end"/>
        </w:r>
      </w:hyperlink>
    </w:p>
    <w:p w14:paraId="130BC005" w14:textId="34BF3A19"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89" w:history="1">
        <w:r w:rsidRPr="00AE3CD3">
          <w:rPr>
            <w:rStyle w:val="Hyperlink"/>
            <w:noProof/>
          </w:rPr>
          <w:t>Figure III.12. Production Cost</w:t>
        </w:r>
        <w:r>
          <w:rPr>
            <w:noProof/>
            <w:webHidden/>
          </w:rPr>
          <w:tab/>
        </w:r>
        <w:r>
          <w:rPr>
            <w:noProof/>
            <w:webHidden/>
          </w:rPr>
          <w:fldChar w:fldCharType="begin"/>
        </w:r>
        <w:r>
          <w:rPr>
            <w:noProof/>
            <w:webHidden/>
          </w:rPr>
          <w:instrText xml:space="preserve"> PAGEREF _Toc187234689 \h </w:instrText>
        </w:r>
        <w:r>
          <w:rPr>
            <w:noProof/>
            <w:webHidden/>
          </w:rPr>
        </w:r>
        <w:r>
          <w:rPr>
            <w:noProof/>
            <w:webHidden/>
          </w:rPr>
          <w:fldChar w:fldCharType="separate"/>
        </w:r>
        <w:r>
          <w:rPr>
            <w:noProof/>
            <w:webHidden/>
          </w:rPr>
          <w:t>61</w:t>
        </w:r>
        <w:r>
          <w:rPr>
            <w:noProof/>
            <w:webHidden/>
          </w:rPr>
          <w:fldChar w:fldCharType="end"/>
        </w:r>
      </w:hyperlink>
    </w:p>
    <w:p w14:paraId="44D23145" w14:textId="47E8FD57"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90" w:history="1">
        <w:r w:rsidRPr="00AE3CD3">
          <w:rPr>
            <w:rStyle w:val="Hyperlink"/>
            <w:noProof/>
          </w:rPr>
          <w:t>Figure III.13 Components of Winter TRM</w:t>
        </w:r>
        <w:r>
          <w:rPr>
            <w:noProof/>
            <w:webHidden/>
          </w:rPr>
          <w:tab/>
        </w:r>
        <w:r>
          <w:rPr>
            <w:noProof/>
            <w:webHidden/>
          </w:rPr>
          <w:fldChar w:fldCharType="begin"/>
        </w:r>
        <w:r>
          <w:rPr>
            <w:noProof/>
            <w:webHidden/>
          </w:rPr>
          <w:instrText xml:space="preserve"> PAGEREF _Toc187234690 \h </w:instrText>
        </w:r>
        <w:r>
          <w:rPr>
            <w:noProof/>
            <w:webHidden/>
          </w:rPr>
        </w:r>
        <w:r>
          <w:rPr>
            <w:noProof/>
            <w:webHidden/>
          </w:rPr>
          <w:fldChar w:fldCharType="separate"/>
        </w:r>
        <w:r>
          <w:rPr>
            <w:noProof/>
            <w:webHidden/>
          </w:rPr>
          <w:t>62</w:t>
        </w:r>
        <w:r>
          <w:rPr>
            <w:noProof/>
            <w:webHidden/>
          </w:rPr>
          <w:fldChar w:fldCharType="end"/>
        </w:r>
      </w:hyperlink>
    </w:p>
    <w:p w14:paraId="4EB8F969" w14:textId="6CA5ED33"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91" w:history="1">
        <w:r w:rsidRPr="00AE3CD3">
          <w:rPr>
            <w:rStyle w:val="Hyperlink"/>
            <w:noProof/>
          </w:rPr>
          <w:t>Figure IV.1. EORM as a Function of Capacity Price</w:t>
        </w:r>
        <w:r>
          <w:rPr>
            <w:noProof/>
            <w:webHidden/>
          </w:rPr>
          <w:tab/>
        </w:r>
        <w:r>
          <w:rPr>
            <w:noProof/>
            <w:webHidden/>
          </w:rPr>
          <w:fldChar w:fldCharType="begin"/>
        </w:r>
        <w:r>
          <w:rPr>
            <w:noProof/>
            <w:webHidden/>
          </w:rPr>
          <w:instrText xml:space="preserve"> PAGEREF _Toc187234691 \h </w:instrText>
        </w:r>
        <w:r>
          <w:rPr>
            <w:noProof/>
            <w:webHidden/>
          </w:rPr>
        </w:r>
        <w:r>
          <w:rPr>
            <w:noProof/>
            <w:webHidden/>
          </w:rPr>
          <w:fldChar w:fldCharType="separate"/>
        </w:r>
        <w:r>
          <w:rPr>
            <w:noProof/>
            <w:webHidden/>
          </w:rPr>
          <w:t>64</w:t>
        </w:r>
        <w:r>
          <w:rPr>
            <w:noProof/>
            <w:webHidden/>
          </w:rPr>
          <w:fldChar w:fldCharType="end"/>
        </w:r>
      </w:hyperlink>
    </w:p>
    <w:p w14:paraId="294506B7" w14:textId="39D75AB6"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92" w:history="1">
        <w:r w:rsidRPr="00AE3CD3">
          <w:rPr>
            <w:rStyle w:val="Hyperlink"/>
            <w:noProof/>
          </w:rPr>
          <w:t>Figure IV.2. Winter Sensitivity Results Relative to the Base Case</w:t>
        </w:r>
        <w:r>
          <w:rPr>
            <w:noProof/>
            <w:webHidden/>
          </w:rPr>
          <w:tab/>
        </w:r>
        <w:r>
          <w:rPr>
            <w:noProof/>
            <w:webHidden/>
          </w:rPr>
          <w:fldChar w:fldCharType="begin"/>
        </w:r>
        <w:r>
          <w:rPr>
            <w:noProof/>
            <w:webHidden/>
          </w:rPr>
          <w:instrText xml:space="preserve"> PAGEREF _Toc187234692 \h </w:instrText>
        </w:r>
        <w:r>
          <w:rPr>
            <w:noProof/>
            <w:webHidden/>
          </w:rPr>
        </w:r>
        <w:r>
          <w:rPr>
            <w:noProof/>
            <w:webHidden/>
          </w:rPr>
          <w:fldChar w:fldCharType="separate"/>
        </w:r>
        <w:r>
          <w:rPr>
            <w:noProof/>
            <w:webHidden/>
          </w:rPr>
          <w:t>68</w:t>
        </w:r>
        <w:r>
          <w:rPr>
            <w:noProof/>
            <w:webHidden/>
          </w:rPr>
          <w:fldChar w:fldCharType="end"/>
        </w:r>
      </w:hyperlink>
    </w:p>
    <w:p w14:paraId="581F5E97" w14:textId="70C6D542" w:rsidR="00E25CCA" w:rsidRDefault="00E25CCA">
      <w:pPr>
        <w:pStyle w:val="TableofFigures"/>
        <w:tabs>
          <w:tab w:val="right" w:leader="dot" w:pos="9350"/>
        </w:tabs>
        <w:rPr>
          <w:rFonts w:asciiTheme="minorHAnsi" w:eastAsiaTheme="minorEastAsia" w:hAnsiTheme="minorHAnsi" w:cstheme="minorBidi"/>
          <w:noProof/>
          <w:kern w:val="2"/>
          <w:sz w:val="24"/>
          <w:szCs w:val="24"/>
          <w14:ligatures w14:val="standardContextual"/>
        </w:rPr>
      </w:pPr>
      <w:hyperlink w:anchor="_Toc187234693" w:history="1">
        <w:r w:rsidRPr="00AE3CD3">
          <w:rPr>
            <w:rStyle w:val="Hyperlink"/>
            <w:noProof/>
          </w:rPr>
          <w:t>Figure V.1. Minimum Acceptable Summer Target Reserve Margins</w:t>
        </w:r>
        <w:r>
          <w:rPr>
            <w:noProof/>
            <w:webHidden/>
          </w:rPr>
          <w:tab/>
        </w:r>
        <w:r>
          <w:rPr>
            <w:noProof/>
            <w:webHidden/>
          </w:rPr>
          <w:fldChar w:fldCharType="begin"/>
        </w:r>
        <w:r>
          <w:rPr>
            <w:noProof/>
            <w:webHidden/>
          </w:rPr>
          <w:instrText xml:space="preserve"> PAGEREF _Toc187234693 \h </w:instrText>
        </w:r>
        <w:r>
          <w:rPr>
            <w:noProof/>
            <w:webHidden/>
          </w:rPr>
        </w:r>
        <w:r>
          <w:rPr>
            <w:noProof/>
            <w:webHidden/>
          </w:rPr>
          <w:fldChar w:fldCharType="separate"/>
        </w:r>
        <w:r>
          <w:rPr>
            <w:noProof/>
            <w:webHidden/>
          </w:rPr>
          <w:t>72</w:t>
        </w:r>
        <w:r>
          <w:rPr>
            <w:noProof/>
            <w:webHidden/>
          </w:rPr>
          <w:fldChar w:fldCharType="end"/>
        </w:r>
      </w:hyperlink>
    </w:p>
    <w:p w14:paraId="2222DD3D" w14:textId="467CA4F7" w:rsidR="00217F0E" w:rsidRDefault="00EA46AD" w:rsidP="00B5222A">
      <w:r>
        <w:fldChar w:fldCharType="end"/>
      </w:r>
    </w:p>
    <w:p w14:paraId="2E8E402F" w14:textId="77777777" w:rsidR="00315B4B" w:rsidRDefault="00315B4B" w:rsidP="00B5222A"/>
    <w:p w14:paraId="22410871" w14:textId="77777777" w:rsidR="00315B4B" w:rsidRDefault="00315B4B" w:rsidP="00B5222A">
      <w:pPr>
        <w:sectPr w:rsidR="00315B4B" w:rsidSect="00506D5C">
          <w:footerReference w:type="first" r:id="rId19"/>
          <w:pgSz w:w="12240" w:h="15840" w:code="1"/>
          <w:pgMar w:top="1800" w:right="1440" w:bottom="1800" w:left="1440" w:header="720" w:footer="720" w:gutter="0"/>
          <w:pgNumType w:fmt="lowerRoman" w:start="1"/>
          <w:cols w:space="720" w:equalWidth="0">
            <w:col w:w="9360"/>
          </w:cols>
          <w:titlePg/>
        </w:sectPr>
      </w:pPr>
    </w:p>
    <w:p w14:paraId="33EDA7D3" w14:textId="77777777" w:rsidR="004B49A6" w:rsidRPr="00421157" w:rsidRDefault="004B49A6" w:rsidP="00217F0E">
      <w:pPr>
        <w:pStyle w:val="Heading1"/>
      </w:pPr>
      <w:bookmarkStart w:id="21" w:name="_Toc513710326"/>
      <w:bookmarkStart w:id="22" w:name="_Ref175041866"/>
      <w:bookmarkStart w:id="23" w:name="_Ref175044937"/>
      <w:bookmarkStart w:id="24" w:name="_Toc187234586"/>
      <w:r w:rsidRPr="00DB641B">
        <w:t>ASSUMPTIONS</w:t>
      </w:r>
      <w:bookmarkEnd w:id="21"/>
      <w:bookmarkEnd w:id="22"/>
      <w:bookmarkEnd w:id="23"/>
      <w:bookmarkEnd w:id="24"/>
    </w:p>
    <w:p w14:paraId="3F4C1C26" w14:textId="06C6DCDD" w:rsidR="004B49A6" w:rsidRPr="00372AC4" w:rsidRDefault="004B49A6" w:rsidP="00F77FF1">
      <w:pPr>
        <w:rPr>
          <w:szCs w:val="24"/>
        </w:rPr>
      </w:pPr>
      <w:r w:rsidRPr="00B138F0">
        <w:rPr>
          <w:szCs w:val="24"/>
        </w:rPr>
        <w:t>The followi</w:t>
      </w:r>
      <w:r>
        <w:rPr>
          <w:szCs w:val="24"/>
        </w:rPr>
        <w:t>ng sections of this report</w:t>
      </w:r>
      <w:r w:rsidRPr="00217F0E">
        <w:rPr>
          <w:szCs w:val="24"/>
        </w:rPr>
        <w:t xml:space="preserve"> provide detailed </w:t>
      </w:r>
      <w:r w:rsidRPr="00372AC4">
        <w:rPr>
          <w:szCs w:val="24"/>
        </w:rPr>
        <w:t>discussions related to the input assumptions associated with</w:t>
      </w:r>
      <w:r w:rsidR="008735C9">
        <w:rPr>
          <w:szCs w:val="24"/>
        </w:rPr>
        <w:t xml:space="preserve"> the</w:t>
      </w:r>
      <w:r w:rsidRPr="00372AC4">
        <w:rPr>
          <w:szCs w:val="24"/>
        </w:rPr>
        <w:t xml:space="preserve"> </w:t>
      </w:r>
      <w:r>
        <w:rPr>
          <w:szCs w:val="24"/>
        </w:rPr>
        <w:t>20</w:t>
      </w:r>
      <w:r w:rsidR="00756957">
        <w:rPr>
          <w:szCs w:val="24"/>
        </w:rPr>
        <w:t>2</w:t>
      </w:r>
      <w:r w:rsidR="00491837">
        <w:rPr>
          <w:szCs w:val="24"/>
        </w:rPr>
        <w:t>4</w:t>
      </w:r>
      <w:r>
        <w:rPr>
          <w:szCs w:val="24"/>
        </w:rPr>
        <w:t xml:space="preserve"> Reserve Margin Study</w:t>
      </w:r>
      <w:r w:rsidRPr="00372AC4">
        <w:rPr>
          <w:szCs w:val="24"/>
        </w:rPr>
        <w:t xml:space="preserve">. </w:t>
      </w:r>
    </w:p>
    <w:p w14:paraId="65E0B71E" w14:textId="77777777" w:rsidR="004B49A6" w:rsidRPr="00372AC4" w:rsidRDefault="004B49A6" w:rsidP="00217F0E">
      <w:pPr>
        <w:rPr>
          <w:szCs w:val="24"/>
        </w:rPr>
      </w:pPr>
    </w:p>
    <w:p w14:paraId="78DDE784" w14:textId="77777777" w:rsidR="004B49A6" w:rsidRPr="00421157" w:rsidRDefault="004B49A6" w:rsidP="00C56A27">
      <w:pPr>
        <w:pStyle w:val="Heading2"/>
        <w:numPr>
          <w:ilvl w:val="1"/>
          <w:numId w:val="13"/>
        </w:numPr>
        <w:ind w:left="360"/>
      </w:pPr>
      <w:bookmarkStart w:id="25" w:name="_Toc222110674"/>
      <w:bookmarkStart w:id="26" w:name="_Toc440262193"/>
      <w:bookmarkStart w:id="27" w:name="_Toc440447866"/>
      <w:bookmarkStart w:id="28" w:name="_Toc440457915"/>
      <w:bookmarkStart w:id="29" w:name="_Toc513710327"/>
      <w:bookmarkStart w:id="30" w:name="_Toc187234587"/>
      <w:r w:rsidRPr="00DB641B">
        <w:t>Reliability Simulation Model</w:t>
      </w:r>
      <w:bookmarkEnd w:id="25"/>
      <w:bookmarkEnd w:id="26"/>
      <w:bookmarkEnd w:id="27"/>
      <w:bookmarkEnd w:id="28"/>
      <w:bookmarkEnd w:id="29"/>
      <w:bookmarkEnd w:id="30"/>
    </w:p>
    <w:p w14:paraId="7407A930" w14:textId="33382A47" w:rsidR="004B49A6" w:rsidRPr="00372AC4" w:rsidRDefault="007E06A9" w:rsidP="00DB641B">
      <w:pPr>
        <w:rPr>
          <w:szCs w:val="24"/>
        </w:rPr>
      </w:pPr>
      <w:r w:rsidRPr="00372AC4">
        <w:rPr>
          <w:szCs w:val="24"/>
        </w:rPr>
        <w:t xml:space="preserve">SERVM </w:t>
      </w:r>
      <w:r w:rsidR="004B49A6" w:rsidRPr="00372AC4">
        <w:rPr>
          <w:szCs w:val="24"/>
        </w:rPr>
        <w:t xml:space="preserve">was used to calculate </w:t>
      </w:r>
      <w:r w:rsidR="004C22B7">
        <w:rPr>
          <w:szCs w:val="24"/>
        </w:rPr>
        <w:t xml:space="preserve">Production Costs and Reliability Costs </w:t>
      </w:r>
      <w:r w:rsidR="00CF2CAB">
        <w:rPr>
          <w:szCs w:val="24"/>
        </w:rPr>
        <w:t>for</w:t>
      </w:r>
      <w:r w:rsidR="004C22B7">
        <w:rPr>
          <w:szCs w:val="24"/>
        </w:rPr>
        <w:t xml:space="preserve"> determining the EORM. </w:t>
      </w:r>
      <w:r w:rsidR="004B49A6" w:rsidRPr="00372AC4">
        <w:rPr>
          <w:szCs w:val="24"/>
        </w:rPr>
        <w:t>These calculations were performed across a broad range of uncertaint</w:t>
      </w:r>
      <w:r w:rsidR="000D1EE1">
        <w:rPr>
          <w:szCs w:val="24"/>
        </w:rPr>
        <w:t>ies for</w:t>
      </w:r>
      <w:r w:rsidR="004B49A6" w:rsidRPr="00372AC4">
        <w:rPr>
          <w:szCs w:val="24"/>
        </w:rPr>
        <w:t xml:space="preserve"> </w:t>
      </w:r>
      <w:r w:rsidR="000D1EE1">
        <w:rPr>
          <w:szCs w:val="24"/>
        </w:rPr>
        <w:t xml:space="preserve">key </w:t>
      </w:r>
      <w:r w:rsidR="00285A90">
        <w:rPr>
          <w:szCs w:val="24"/>
        </w:rPr>
        <w:t>risk</w:t>
      </w:r>
      <w:r w:rsidR="000D1EE1">
        <w:rPr>
          <w:szCs w:val="24"/>
        </w:rPr>
        <w:t xml:space="preserve"> factor</w:t>
      </w:r>
      <w:r w:rsidR="00285A90">
        <w:rPr>
          <w:szCs w:val="24"/>
        </w:rPr>
        <w:t>s</w:t>
      </w:r>
      <w:r w:rsidR="000D1EE1">
        <w:rPr>
          <w:szCs w:val="24"/>
        </w:rPr>
        <w:t>,</w:t>
      </w:r>
      <w:r w:rsidR="00285A90">
        <w:rPr>
          <w:szCs w:val="24"/>
        </w:rPr>
        <w:t xml:space="preserve"> </w:t>
      </w:r>
      <w:r w:rsidR="004B49A6" w:rsidRPr="00372AC4">
        <w:rPr>
          <w:szCs w:val="24"/>
        </w:rPr>
        <w:t>in</w:t>
      </w:r>
      <w:r w:rsidR="00773F74">
        <w:rPr>
          <w:szCs w:val="24"/>
        </w:rPr>
        <w:t>cluding</w:t>
      </w:r>
      <w:r w:rsidR="004B49A6" w:rsidRPr="00372AC4">
        <w:rPr>
          <w:szCs w:val="24"/>
        </w:rPr>
        <w:t xml:space="preserve"> </w:t>
      </w:r>
      <w:r w:rsidR="00E25CCA">
        <w:rPr>
          <w:szCs w:val="24"/>
        </w:rPr>
        <w:t>LFE</w:t>
      </w:r>
      <w:r w:rsidR="004B49A6" w:rsidRPr="00372AC4">
        <w:rPr>
          <w:szCs w:val="24"/>
        </w:rPr>
        <w:t>, weather</w:t>
      </w:r>
      <w:r w:rsidR="004B49A6">
        <w:rPr>
          <w:szCs w:val="24"/>
        </w:rPr>
        <w:t>,</w:t>
      </w:r>
      <w:r w:rsidR="004B49A6" w:rsidRPr="00372AC4">
        <w:rPr>
          <w:szCs w:val="24"/>
        </w:rPr>
        <w:t xml:space="preserve"> unit availability</w:t>
      </w:r>
      <w:r w:rsidR="004B49A6">
        <w:rPr>
          <w:szCs w:val="24"/>
        </w:rPr>
        <w:t>, and performance of non-dispatchable, renewable resources.</w:t>
      </w:r>
      <w:r w:rsidR="00A648A6">
        <w:rPr>
          <w:szCs w:val="24"/>
        </w:rPr>
        <w:t xml:space="preserve"> </w:t>
      </w:r>
    </w:p>
    <w:p w14:paraId="64F2888D" w14:textId="77777777" w:rsidR="004B49A6" w:rsidRPr="00372AC4" w:rsidRDefault="004B49A6" w:rsidP="00217F0E">
      <w:pPr>
        <w:rPr>
          <w:szCs w:val="24"/>
        </w:rPr>
      </w:pPr>
    </w:p>
    <w:p w14:paraId="476D7BA3" w14:textId="3A20F732" w:rsidR="004B49A6" w:rsidRPr="00217F0E" w:rsidRDefault="004B49A6" w:rsidP="00217F0E">
      <w:pPr>
        <w:rPr>
          <w:szCs w:val="24"/>
        </w:rPr>
      </w:pPr>
      <w:r w:rsidRPr="00372AC4">
        <w:rPr>
          <w:szCs w:val="24"/>
        </w:rPr>
        <w:t>Operating events are selected from actual operating history to determine generating unit availability.</w:t>
      </w:r>
      <w:r w:rsidR="00A648A6">
        <w:rPr>
          <w:szCs w:val="24"/>
        </w:rPr>
        <w:t xml:space="preserve"> </w:t>
      </w:r>
      <w:r w:rsidRPr="00372AC4">
        <w:rPr>
          <w:szCs w:val="24"/>
        </w:rPr>
        <w:t xml:space="preserve">For each hour in </w:t>
      </w:r>
      <w:r>
        <w:rPr>
          <w:szCs w:val="24"/>
        </w:rPr>
        <w:t>every</w:t>
      </w:r>
      <w:r w:rsidRPr="00372AC4">
        <w:rPr>
          <w:szCs w:val="24"/>
        </w:rPr>
        <w:t xml:space="preserve"> simulation, each unit will either be operating, on reserve shutdown, </w:t>
      </w:r>
      <w:r w:rsidR="0027353F">
        <w:rPr>
          <w:szCs w:val="24"/>
        </w:rPr>
        <w:t xml:space="preserve">in a </w:t>
      </w:r>
      <w:r w:rsidRPr="00372AC4">
        <w:rPr>
          <w:szCs w:val="24"/>
        </w:rPr>
        <w:t xml:space="preserve">partial </w:t>
      </w:r>
      <w:r w:rsidR="0027353F">
        <w:rPr>
          <w:szCs w:val="24"/>
        </w:rPr>
        <w:t>forced outage</w:t>
      </w:r>
      <w:r w:rsidRPr="00372AC4">
        <w:rPr>
          <w:szCs w:val="24"/>
        </w:rPr>
        <w:t xml:space="preserve">, </w:t>
      </w:r>
      <w:r w:rsidR="0027353F">
        <w:rPr>
          <w:szCs w:val="24"/>
        </w:rPr>
        <w:t>full forced outage</w:t>
      </w:r>
      <w:r w:rsidRPr="00372AC4">
        <w:rPr>
          <w:szCs w:val="24"/>
        </w:rPr>
        <w:t xml:space="preserve">, or on scheduled maintenance. The total capacity online </w:t>
      </w:r>
      <w:r>
        <w:rPr>
          <w:szCs w:val="24"/>
        </w:rPr>
        <w:t xml:space="preserve">and available </w:t>
      </w:r>
      <w:r w:rsidR="009D2365">
        <w:rPr>
          <w:szCs w:val="24"/>
        </w:rPr>
        <w:t>to serve load</w:t>
      </w:r>
      <w:r>
        <w:rPr>
          <w:szCs w:val="24"/>
        </w:rPr>
        <w:t xml:space="preserve"> </w:t>
      </w:r>
      <w:r w:rsidRPr="00372AC4">
        <w:rPr>
          <w:szCs w:val="24"/>
        </w:rPr>
        <w:t>is calculated and compared to the</w:t>
      </w:r>
      <w:r w:rsidR="00484FE0">
        <w:rPr>
          <w:szCs w:val="24"/>
        </w:rPr>
        <w:t xml:space="preserve"> hourly</w:t>
      </w:r>
      <w:r w:rsidRPr="00372AC4">
        <w:rPr>
          <w:szCs w:val="24"/>
        </w:rPr>
        <w:t xml:space="preserve"> load to determine the associated</w:t>
      </w:r>
      <w:r w:rsidR="007E06A9">
        <w:rPr>
          <w:szCs w:val="24"/>
        </w:rPr>
        <w:t xml:space="preserve"> </w:t>
      </w:r>
      <w:r w:rsidRPr="00372AC4">
        <w:rPr>
          <w:szCs w:val="24"/>
        </w:rPr>
        <w:t xml:space="preserve">EUE. </w:t>
      </w:r>
      <w:r w:rsidRPr="003B3EBC">
        <w:rPr>
          <w:szCs w:val="24"/>
        </w:rPr>
        <w:t xml:space="preserve">Performing the random unit status draws for </w:t>
      </w:r>
      <w:r>
        <w:rPr>
          <w:szCs w:val="24"/>
        </w:rPr>
        <w:t>100</w:t>
      </w:r>
      <w:r w:rsidRPr="003B3EBC">
        <w:rPr>
          <w:szCs w:val="24"/>
        </w:rPr>
        <w:t xml:space="preserve"> iterations for every hour in the dataset results in</w:t>
      </w:r>
      <w:r w:rsidRPr="00B138F0">
        <w:rPr>
          <w:szCs w:val="24"/>
        </w:rPr>
        <w:t xml:space="preserve"> average or expected case EUE.</w:t>
      </w:r>
    </w:p>
    <w:p w14:paraId="4E2D0411" w14:textId="77777777" w:rsidR="004B49A6" w:rsidRPr="00372AC4" w:rsidRDefault="004B49A6" w:rsidP="00217F0E">
      <w:pPr>
        <w:rPr>
          <w:szCs w:val="24"/>
        </w:rPr>
      </w:pPr>
    </w:p>
    <w:p w14:paraId="3001D093" w14:textId="51A4F8B0" w:rsidR="004B49A6" w:rsidRDefault="00C30D8E" w:rsidP="00217F0E">
      <w:pPr>
        <w:rPr>
          <w:szCs w:val="24"/>
        </w:rPr>
      </w:pPr>
      <w:r>
        <w:rPr>
          <w:szCs w:val="24"/>
        </w:rPr>
        <w:t xml:space="preserve">Throughout the simulation, </w:t>
      </w:r>
      <w:r w:rsidR="004B49A6" w:rsidRPr="00372AC4">
        <w:rPr>
          <w:szCs w:val="24"/>
        </w:rPr>
        <w:t xml:space="preserve">SERVM perfectly matches load and generation. </w:t>
      </w:r>
      <w:r>
        <w:rPr>
          <w:szCs w:val="24"/>
        </w:rPr>
        <w:t>During actual EUE events</w:t>
      </w:r>
      <w:r w:rsidR="004B49A6" w:rsidRPr="00372AC4">
        <w:rPr>
          <w:szCs w:val="24"/>
        </w:rPr>
        <w:t xml:space="preserve">, load would be curtailed in large blocks and </w:t>
      </w:r>
      <w:r>
        <w:rPr>
          <w:szCs w:val="24"/>
        </w:rPr>
        <w:t>might</w:t>
      </w:r>
      <w:r w:rsidR="004B49A6" w:rsidRPr="00372AC4">
        <w:rPr>
          <w:szCs w:val="24"/>
        </w:rPr>
        <w:t xml:space="preserve"> be off longer than </w:t>
      </w:r>
      <w:r>
        <w:rPr>
          <w:szCs w:val="24"/>
        </w:rPr>
        <w:t>modeled in SERVM</w:t>
      </w:r>
      <w:r w:rsidR="004B49A6" w:rsidRPr="00372AC4">
        <w:rPr>
          <w:szCs w:val="24"/>
        </w:rPr>
        <w:t>.</w:t>
      </w:r>
      <w:r w:rsidR="004B49A6">
        <w:rPr>
          <w:szCs w:val="24"/>
        </w:rPr>
        <w:t xml:space="preserve"> </w:t>
      </w:r>
      <w:r>
        <w:rPr>
          <w:szCs w:val="24"/>
        </w:rPr>
        <w:t>Modeling load curtailment in this way would increase the</w:t>
      </w:r>
      <w:r w:rsidR="004B49A6">
        <w:rPr>
          <w:szCs w:val="24"/>
        </w:rPr>
        <w:t xml:space="preserve"> expected EUE and the </w:t>
      </w:r>
      <w:r w:rsidR="008735C9">
        <w:rPr>
          <w:szCs w:val="24"/>
        </w:rPr>
        <w:t>EORM</w:t>
      </w:r>
      <w:r w:rsidR="004B49A6">
        <w:rPr>
          <w:szCs w:val="24"/>
        </w:rPr>
        <w:t xml:space="preserve">. </w:t>
      </w:r>
      <w:r w:rsidR="00315EAB">
        <w:rPr>
          <w:szCs w:val="24"/>
        </w:rPr>
        <w:t>As such</w:t>
      </w:r>
      <w:r w:rsidR="004B49A6">
        <w:rPr>
          <w:szCs w:val="24"/>
        </w:rPr>
        <w:t xml:space="preserve">, the results of </w:t>
      </w:r>
      <w:r w:rsidR="00315EAB">
        <w:rPr>
          <w:szCs w:val="24"/>
        </w:rPr>
        <w:t>the 20</w:t>
      </w:r>
      <w:r w:rsidR="00756957">
        <w:rPr>
          <w:szCs w:val="24"/>
        </w:rPr>
        <w:t>2</w:t>
      </w:r>
      <w:r w:rsidR="00561830">
        <w:rPr>
          <w:szCs w:val="24"/>
        </w:rPr>
        <w:t>4</w:t>
      </w:r>
      <w:r w:rsidR="00315EAB">
        <w:rPr>
          <w:szCs w:val="24"/>
        </w:rPr>
        <w:t xml:space="preserve"> Reserve Margin S</w:t>
      </w:r>
      <w:r w:rsidR="004B49A6">
        <w:rPr>
          <w:szCs w:val="24"/>
        </w:rPr>
        <w:t xml:space="preserve">tudy </w:t>
      </w:r>
      <w:r w:rsidR="009D2365">
        <w:rPr>
          <w:szCs w:val="24"/>
        </w:rPr>
        <w:t>do not represent the most extreme outcome possible</w:t>
      </w:r>
      <w:r w:rsidR="004B49A6">
        <w:rPr>
          <w:szCs w:val="24"/>
        </w:rPr>
        <w:t>.</w:t>
      </w:r>
    </w:p>
    <w:p w14:paraId="50AB6D6B" w14:textId="77777777" w:rsidR="004B49A6" w:rsidRDefault="004B49A6" w:rsidP="00217F0E">
      <w:pPr>
        <w:rPr>
          <w:szCs w:val="24"/>
        </w:rPr>
      </w:pPr>
    </w:p>
    <w:p w14:paraId="4D82BC2C" w14:textId="77777777" w:rsidR="00E9087A" w:rsidRPr="00421157" w:rsidRDefault="00E9087A" w:rsidP="00E9087A">
      <w:pPr>
        <w:pStyle w:val="Heading2"/>
        <w:numPr>
          <w:ilvl w:val="1"/>
          <w:numId w:val="13"/>
        </w:numPr>
        <w:ind w:left="360"/>
      </w:pPr>
      <w:bookmarkStart w:id="31" w:name="_Toc440447800"/>
      <w:bookmarkStart w:id="32" w:name="_Toc440447867"/>
      <w:bookmarkStart w:id="33" w:name="_Toc440457916"/>
      <w:bookmarkStart w:id="34" w:name="_Toc440458330"/>
      <w:bookmarkStart w:id="35" w:name="_Toc440447801"/>
      <w:bookmarkStart w:id="36" w:name="_Toc440447868"/>
      <w:bookmarkStart w:id="37" w:name="_Toc440457917"/>
      <w:bookmarkStart w:id="38" w:name="_Toc440458331"/>
      <w:bookmarkStart w:id="39" w:name="_Toc440447802"/>
      <w:bookmarkStart w:id="40" w:name="_Toc440447869"/>
      <w:bookmarkStart w:id="41" w:name="_Toc440457918"/>
      <w:bookmarkStart w:id="42" w:name="_Toc440458332"/>
      <w:bookmarkStart w:id="43" w:name="_Toc187234588"/>
      <w:bookmarkStart w:id="44" w:name="_Toc513710329"/>
      <w:bookmarkStart w:id="45" w:name="_Toc440262194"/>
      <w:bookmarkStart w:id="46" w:name="_Toc440447870"/>
      <w:bookmarkStart w:id="47" w:name="_Toc440457919"/>
      <w:bookmarkEnd w:id="31"/>
      <w:bookmarkEnd w:id="32"/>
      <w:bookmarkEnd w:id="33"/>
      <w:bookmarkEnd w:id="34"/>
      <w:bookmarkEnd w:id="35"/>
      <w:bookmarkEnd w:id="36"/>
      <w:bookmarkEnd w:id="37"/>
      <w:bookmarkEnd w:id="38"/>
      <w:bookmarkEnd w:id="39"/>
      <w:bookmarkEnd w:id="40"/>
      <w:bookmarkEnd w:id="41"/>
      <w:bookmarkEnd w:id="42"/>
      <w:r w:rsidRPr="00DB641B">
        <w:t>Study Year</w:t>
      </w:r>
      <w:bookmarkEnd w:id="43"/>
    </w:p>
    <w:p w14:paraId="2B79B894" w14:textId="3FDC24CA" w:rsidR="00E9087A" w:rsidRPr="00372AC4" w:rsidRDefault="00E9087A" w:rsidP="00E9087A">
      <w:pPr>
        <w:rPr>
          <w:szCs w:val="24"/>
        </w:rPr>
      </w:pPr>
      <w:r>
        <w:rPr>
          <w:szCs w:val="24"/>
        </w:rPr>
        <w:t>To perform the analyses necessary for the 20</w:t>
      </w:r>
      <w:r w:rsidR="00756957">
        <w:rPr>
          <w:szCs w:val="24"/>
        </w:rPr>
        <w:t>2</w:t>
      </w:r>
      <w:r w:rsidR="00561830">
        <w:rPr>
          <w:szCs w:val="24"/>
        </w:rPr>
        <w:t>4</w:t>
      </w:r>
      <w:r>
        <w:rPr>
          <w:szCs w:val="24"/>
        </w:rPr>
        <w:t xml:space="preserve"> Reserve Margin Study</w:t>
      </w:r>
      <w:r w:rsidRPr="00C627E2">
        <w:rPr>
          <w:szCs w:val="24"/>
        </w:rPr>
        <w:t>, a</w:t>
      </w:r>
      <w:r w:rsidRPr="00421157">
        <w:rPr>
          <w:szCs w:val="24"/>
        </w:rPr>
        <w:t xml:space="preserve"> </w:t>
      </w:r>
      <w:r>
        <w:rPr>
          <w:szCs w:val="24"/>
        </w:rPr>
        <w:t>study</w:t>
      </w:r>
      <w:r w:rsidRPr="00421157">
        <w:rPr>
          <w:szCs w:val="24"/>
        </w:rPr>
        <w:t xml:space="preserve"> year </w:t>
      </w:r>
      <w:r>
        <w:rPr>
          <w:szCs w:val="24"/>
        </w:rPr>
        <w:t>was</w:t>
      </w:r>
      <w:r w:rsidRPr="00421157">
        <w:rPr>
          <w:szCs w:val="24"/>
        </w:rPr>
        <w:t xml:space="preserve"> selected</w:t>
      </w:r>
      <w:r>
        <w:rPr>
          <w:szCs w:val="24"/>
        </w:rPr>
        <w:t xml:space="preserve"> </w:t>
      </w:r>
      <w:r w:rsidRPr="009D2365">
        <w:rPr>
          <w:szCs w:val="24"/>
        </w:rPr>
        <w:t xml:space="preserve">that corresponds with the </w:t>
      </w:r>
      <w:r w:rsidR="00756957" w:rsidRPr="009D2365">
        <w:rPr>
          <w:szCs w:val="24"/>
        </w:rPr>
        <w:t xml:space="preserve">current year plus </w:t>
      </w:r>
      <w:r w:rsidR="00756957" w:rsidRPr="004F10EB">
        <w:rPr>
          <w:szCs w:val="24"/>
        </w:rPr>
        <w:t>four.</w:t>
      </w:r>
      <w:r w:rsidR="00EA19A0" w:rsidRPr="004F10EB">
        <w:rPr>
          <w:szCs w:val="24"/>
        </w:rPr>
        <w:t xml:space="preserve"> Since reserve margin studies are performed every three years</w:t>
      </w:r>
      <w:r w:rsidR="0027353F">
        <w:rPr>
          <w:szCs w:val="24"/>
        </w:rPr>
        <w:t>,</w:t>
      </w:r>
      <w:r w:rsidR="00756957" w:rsidRPr="004F10EB">
        <w:rPr>
          <w:szCs w:val="24"/>
        </w:rPr>
        <w:t xml:space="preserve"> </w:t>
      </w:r>
      <w:r w:rsidR="00EA19A0" w:rsidRPr="004F10EB">
        <w:rPr>
          <w:szCs w:val="24"/>
        </w:rPr>
        <w:t>this</w:t>
      </w:r>
      <w:r w:rsidR="00943F1D">
        <w:rPr>
          <w:szCs w:val="24"/>
        </w:rPr>
        <w:t xml:space="preserve"> </w:t>
      </w:r>
      <w:r w:rsidR="00EA19A0" w:rsidRPr="004F10EB">
        <w:rPr>
          <w:szCs w:val="24"/>
        </w:rPr>
        <w:t>ensures that the reserve margin study year is</w:t>
      </w:r>
      <w:r w:rsidR="00AD095F" w:rsidRPr="004F10EB">
        <w:rPr>
          <w:szCs w:val="24"/>
        </w:rPr>
        <w:t xml:space="preserve"> always</w:t>
      </w:r>
      <w:r w:rsidR="00EA19A0" w:rsidRPr="004F10EB">
        <w:rPr>
          <w:szCs w:val="24"/>
        </w:rPr>
        <w:t xml:space="preserve"> </w:t>
      </w:r>
      <w:r w:rsidR="00AD095F" w:rsidRPr="004F10EB">
        <w:rPr>
          <w:szCs w:val="24"/>
        </w:rPr>
        <w:t xml:space="preserve">forward looking compared to the current </w:t>
      </w:r>
      <w:r w:rsidR="00E25CCA">
        <w:rPr>
          <w:szCs w:val="24"/>
        </w:rPr>
        <w:t>Integrated Resource Plan (“IRP”)</w:t>
      </w:r>
      <w:r w:rsidR="00AD095F" w:rsidRPr="004F10EB">
        <w:rPr>
          <w:szCs w:val="24"/>
        </w:rPr>
        <w:t xml:space="preserve"> budget year. </w:t>
      </w:r>
      <w:r w:rsidRPr="004F10EB">
        <w:rPr>
          <w:szCs w:val="24"/>
        </w:rPr>
        <w:t>The representative year selected for this study was 202</w:t>
      </w:r>
      <w:r w:rsidR="00561830">
        <w:rPr>
          <w:szCs w:val="24"/>
        </w:rPr>
        <w:t>8</w:t>
      </w:r>
      <w:r w:rsidRPr="004F10EB">
        <w:rPr>
          <w:szCs w:val="24"/>
        </w:rPr>
        <w:t>.</w:t>
      </w:r>
      <w:r w:rsidR="00A648A6">
        <w:rPr>
          <w:szCs w:val="24"/>
        </w:rPr>
        <w:t xml:space="preserve"> </w:t>
      </w:r>
    </w:p>
    <w:p w14:paraId="77AAE260" w14:textId="77777777" w:rsidR="00E9087A" w:rsidRPr="00372AC4" w:rsidRDefault="00E9087A" w:rsidP="00E9087A">
      <w:pPr>
        <w:rPr>
          <w:szCs w:val="24"/>
        </w:rPr>
      </w:pPr>
    </w:p>
    <w:p w14:paraId="3B90CC92" w14:textId="77777777" w:rsidR="004B49A6" w:rsidRPr="00421157" w:rsidRDefault="004B49A6" w:rsidP="00C56A27">
      <w:pPr>
        <w:pStyle w:val="Heading2"/>
        <w:numPr>
          <w:ilvl w:val="1"/>
          <w:numId w:val="13"/>
        </w:numPr>
        <w:ind w:left="360"/>
      </w:pPr>
      <w:bookmarkStart w:id="48" w:name="_Ref175131506"/>
      <w:bookmarkStart w:id="49" w:name="_Ref175131526"/>
      <w:bookmarkStart w:id="50" w:name="_Toc187234589"/>
      <w:r w:rsidRPr="004A4FD8">
        <w:t>Weather Years</w:t>
      </w:r>
      <w:bookmarkEnd w:id="44"/>
      <w:bookmarkEnd w:id="48"/>
      <w:bookmarkEnd w:id="49"/>
      <w:bookmarkEnd w:id="50"/>
      <w:r w:rsidRPr="004A4FD8">
        <w:t xml:space="preserve"> </w:t>
      </w:r>
    </w:p>
    <w:p w14:paraId="464981E3" w14:textId="42856F99" w:rsidR="00777591" w:rsidRDefault="004B49A6" w:rsidP="00F77FF1">
      <w:pPr>
        <w:rPr>
          <w:szCs w:val="24"/>
        </w:rPr>
      </w:pPr>
      <w:r w:rsidRPr="00DB641B">
        <w:rPr>
          <w:szCs w:val="24"/>
        </w:rPr>
        <w:t xml:space="preserve">The </w:t>
      </w:r>
      <w:r>
        <w:rPr>
          <w:szCs w:val="24"/>
        </w:rPr>
        <w:t>impact of weather</w:t>
      </w:r>
      <w:r w:rsidRPr="00DB641B">
        <w:rPr>
          <w:szCs w:val="24"/>
        </w:rPr>
        <w:t xml:space="preserve"> on load </w:t>
      </w:r>
      <w:r>
        <w:rPr>
          <w:szCs w:val="24"/>
        </w:rPr>
        <w:t>was</w:t>
      </w:r>
      <w:r w:rsidRPr="00DB641B">
        <w:rPr>
          <w:szCs w:val="24"/>
        </w:rPr>
        <w:t xml:space="preserve"> reflected by si</w:t>
      </w:r>
      <w:r w:rsidR="004C22B7">
        <w:rPr>
          <w:szCs w:val="24"/>
        </w:rPr>
        <w:t xml:space="preserve">mulating the System using </w:t>
      </w:r>
      <w:r w:rsidR="00561830">
        <w:rPr>
          <w:szCs w:val="24"/>
        </w:rPr>
        <w:t>50</w:t>
      </w:r>
      <w:r w:rsidRPr="00DB641B">
        <w:rPr>
          <w:szCs w:val="24"/>
        </w:rPr>
        <w:t xml:space="preserve"> historical annual weather patterns from 19</w:t>
      </w:r>
      <w:r w:rsidR="00561830">
        <w:rPr>
          <w:szCs w:val="24"/>
        </w:rPr>
        <w:t>73</w:t>
      </w:r>
      <w:r w:rsidRPr="00DB641B">
        <w:rPr>
          <w:szCs w:val="24"/>
        </w:rPr>
        <w:t xml:space="preserve"> through 20</w:t>
      </w:r>
      <w:r w:rsidR="00561830">
        <w:rPr>
          <w:szCs w:val="24"/>
        </w:rPr>
        <w:t>22</w:t>
      </w:r>
      <w:r w:rsidRPr="00DB641B">
        <w:rPr>
          <w:szCs w:val="24"/>
        </w:rPr>
        <w:t>. These 5</w:t>
      </w:r>
      <w:r w:rsidR="00561830">
        <w:rPr>
          <w:szCs w:val="24"/>
        </w:rPr>
        <w:t>0</w:t>
      </w:r>
      <w:r w:rsidRPr="00DB641B">
        <w:rPr>
          <w:szCs w:val="24"/>
        </w:rPr>
        <w:t xml:space="preserve"> patterns were then used to develop annual load shapes that would approximate what the load shape would be in the study year (20</w:t>
      </w:r>
      <w:r>
        <w:rPr>
          <w:szCs w:val="24"/>
        </w:rPr>
        <w:t>2</w:t>
      </w:r>
      <w:r w:rsidR="00561830">
        <w:rPr>
          <w:szCs w:val="24"/>
        </w:rPr>
        <w:t>8</w:t>
      </w:r>
      <w:r w:rsidRPr="00DB641B">
        <w:rPr>
          <w:szCs w:val="24"/>
        </w:rPr>
        <w:t>) if the weather pattern matched that of one of the historical years. Two annual load shapes were developed for each of the 5</w:t>
      </w:r>
      <w:r w:rsidR="00561830">
        <w:rPr>
          <w:szCs w:val="24"/>
        </w:rPr>
        <w:t>0</w:t>
      </w:r>
      <w:r w:rsidRPr="00DB641B">
        <w:rPr>
          <w:szCs w:val="24"/>
        </w:rPr>
        <w:t xml:space="preserve"> weather patterns. One assum</w:t>
      </w:r>
      <w:r w:rsidR="00202BCF">
        <w:rPr>
          <w:szCs w:val="24"/>
        </w:rPr>
        <w:t>ed</w:t>
      </w:r>
      <w:r w:rsidRPr="00DB641B">
        <w:rPr>
          <w:szCs w:val="24"/>
        </w:rPr>
        <w:t xml:space="preserve"> the first day of the year occurred on a Tuesday; the other assum</w:t>
      </w:r>
      <w:r w:rsidR="00202BCF">
        <w:rPr>
          <w:szCs w:val="24"/>
        </w:rPr>
        <w:t>ed</w:t>
      </w:r>
      <w:r w:rsidRPr="00DB641B">
        <w:rPr>
          <w:szCs w:val="24"/>
        </w:rPr>
        <w:t xml:space="preserve"> the first day of the year occurred on a Saturday. This was done to </w:t>
      </w:r>
      <w:r w:rsidR="00D016A8">
        <w:rPr>
          <w:szCs w:val="24"/>
        </w:rPr>
        <w:t>vary</w:t>
      </w:r>
      <w:r w:rsidRPr="00DB641B">
        <w:rPr>
          <w:szCs w:val="24"/>
        </w:rPr>
        <w:t xml:space="preserve"> what day of the week extreme weather conditions </w:t>
      </w:r>
      <w:r w:rsidR="00D016A8">
        <w:rPr>
          <w:szCs w:val="24"/>
        </w:rPr>
        <w:t xml:space="preserve">were assumed to </w:t>
      </w:r>
      <w:r w:rsidR="00EE2DB2">
        <w:rPr>
          <w:szCs w:val="24"/>
        </w:rPr>
        <w:t>occur, since extreme</w:t>
      </w:r>
      <w:r>
        <w:rPr>
          <w:szCs w:val="24"/>
        </w:rPr>
        <w:t xml:space="preserve"> weather </w:t>
      </w:r>
      <w:r w:rsidR="00E639D8">
        <w:rPr>
          <w:szCs w:val="24"/>
        </w:rPr>
        <w:t xml:space="preserve">can </w:t>
      </w:r>
      <w:r w:rsidR="0027353F">
        <w:rPr>
          <w:szCs w:val="24"/>
        </w:rPr>
        <w:t>occur</w:t>
      </w:r>
      <w:r>
        <w:rPr>
          <w:szCs w:val="24"/>
        </w:rPr>
        <w:t xml:space="preserve"> either on the weekend or on a </w:t>
      </w:r>
      <w:r w:rsidR="00A17533">
        <w:rPr>
          <w:szCs w:val="24"/>
        </w:rPr>
        <w:t>week</w:t>
      </w:r>
      <w:r>
        <w:rPr>
          <w:szCs w:val="24"/>
        </w:rPr>
        <w:t>day. These</w:t>
      </w:r>
      <w:r w:rsidRPr="00DB641B">
        <w:rPr>
          <w:szCs w:val="24"/>
        </w:rPr>
        <w:t xml:space="preserve"> 1</w:t>
      </w:r>
      <w:r w:rsidR="00561830">
        <w:rPr>
          <w:szCs w:val="24"/>
        </w:rPr>
        <w:t>00</w:t>
      </w:r>
      <w:r w:rsidRPr="00DB641B">
        <w:rPr>
          <w:szCs w:val="24"/>
        </w:rPr>
        <w:t xml:space="preserve"> datasets or </w:t>
      </w:r>
      <w:r w:rsidR="008E2FDE">
        <w:rPr>
          <w:szCs w:val="24"/>
        </w:rPr>
        <w:t>“</w:t>
      </w:r>
      <w:r w:rsidRPr="00DB641B">
        <w:rPr>
          <w:szCs w:val="24"/>
        </w:rPr>
        <w:t>weather years</w:t>
      </w:r>
      <w:r w:rsidR="008E2FDE">
        <w:rPr>
          <w:szCs w:val="24"/>
        </w:rPr>
        <w:t>”</w:t>
      </w:r>
      <w:r w:rsidRPr="00DB641B">
        <w:rPr>
          <w:szCs w:val="24"/>
        </w:rPr>
        <w:t xml:space="preserve"> were given equal probability of occurrence.</w:t>
      </w:r>
      <w:r w:rsidR="00A648A6">
        <w:rPr>
          <w:szCs w:val="24"/>
        </w:rPr>
        <w:t xml:space="preserve"> </w:t>
      </w:r>
    </w:p>
    <w:p w14:paraId="4A33CC67" w14:textId="53744CFF" w:rsidR="00777591" w:rsidRDefault="00B9609A" w:rsidP="00B9609A">
      <w:pPr>
        <w:tabs>
          <w:tab w:val="left" w:pos="1635"/>
        </w:tabs>
        <w:rPr>
          <w:szCs w:val="24"/>
        </w:rPr>
      </w:pPr>
      <w:r>
        <w:rPr>
          <w:szCs w:val="24"/>
        </w:rPr>
        <w:tab/>
      </w:r>
    </w:p>
    <w:p w14:paraId="3D04DF1F" w14:textId="5C48B79E" w:rsidR="004B49A6" w:rsidRPr="00DB641B" w:rsidRDefault="007616DB" w:rsidP="00F77FF1">
      <w:r w:rsidRPr="440F262C">
        <w:t xml:space="preserve">The choice of weather years has changed since the 2021 Reserve Margin Study. </w:t>
      </w:r>
      <w:r w:rsidR="00B9609A">
        <w:t>Previous</w:t>
      </w:r>
      <w:r w:rsidR="00FE2576">
        <w:t xml:space="preserve"> </w:t>
      </w:r>
      <w:r w:rsidRPr="440F262C">
        <w:t>Reserve Margin Stud</w:t>
      </w:r>
      <w:r w:rsidR="00B9609A">
        <w:t>ies</w:t>
      </w:r>
      <w:r w:rsidRPr="440F262C">
        <w:t xml:space="preserve"> added </w:t>
      </w:r>
      <w:r w:rsidR="00886D27" w:rsidRPr="440F262C">
        <w:t>t</w:t>
      </w:r>
      <w:r w:rsidRPr="440F262C">
        <w:t>hree to four new weather years</w:t>
      </w:r>
      <w:r w:rsidR="00FE2576">
        <w:t xml:space="preserve"> relative</w:t>
      </w:r>
      <w:r w:rsidRPr="440F262C">
        <w:t xml:space="preserve"> to the</w:t>
      </w:r>
      <w:r w:rsidR="00040E12">
        <w:rPr>
          <w:szCs w:val="24"/>
        </w:rPr>
        <w:t xml:space="preserve"> </w:t>
      </w:r>
      <w:r w:rsidR="00FE2576">
        <w:t xml:space="preserve">prior </w:t>
      </w:r>
      <w:r w:rsidRPr="440F262C">
        <w:t>study. The 2018 study used 54 years, the 2021 study used 58 years</w:t>
      </w:r>
      <w:r w:rsidR="005223A2">
        <w:t>,</w:t>
      </w:r>
      <w:r w:rsidRPr="440F262C">
        <w:t xml:space="preserve"> and 61 years </w:t>
      </w:r>
      <w:r w:rsidR="005223A2">
        <w:t xml:space="preserve">of data were </w:t>
      </w:r>
      <w:r w:rsidRPr="440F262C">
        <w:t xml:space="preserve">available for this study. </w:t>
      </w:r>
      <w:r w:rsidR="0034015F">
        <w:t xml:space="preserve">In this 2024 Study, </w:t>
      </w:r>
      <w:r w:rsidRPr="440F262C">
        <w:t xml:space="preserve">a rolling 50-year limit was </w:t>
      </w:r>
      <w:r w:rsidR="0034015F">
        <w:t>used</w:t>
      </w:r>
      <w:r w:rsidRPr="440F262C">
        <w:t xml:space="preserve"> to </w:t>
      </w:r>
      <w:r w:rsidR="005A1C68">
        <w:t>give more weight to</w:t>
      </w:r>
      <w:r w:rsidRPr="440F262C">
        <w:t xml:space="preserve"> near-term weather patterns</w:t>
      </w:r>
      <w:r w:rsidR="00B9609A">
        <w:t xml:space="preserve"> resulting from a smaller weather year data set.</w:t>
      </w:r>
      <w:r w:rsidRPr="440F262C">
        <w:t xml:space="preserve"> </w:t>
      </w:r>
      <w:r w:rsidR="00040E12" w:rsidRPr="440F262C">
        <w:t xml:space="preserve">Additionally, this </w:t>
      </w:r>
      <w:r w:rsidR="0038152C">
        <w:t>is more</w:t>
      </w:r>
      <w:r w:rsidR="00040E12" w:rsidRPr="440F262C">
        <w:t xml:space="preserve"> consisten</w:t>
      </w:r>
      <w:r w:rsidR="0038152C">
        <w:t>t</w:t>
      </w:r>
      <w:r w:rsidR="00040E12" w:rsidRPr="440F262C">
        <w:t xml:space="preserve"> with the Company’s load forecasting method</w:t>
      </w:r>
      <w:r w:rsidR="0034015F">
        <w:t>ology,</w:t>
      </w:r>
      <w:r w:rsidR="00040E12" w:rsidRPr="440F262C">
        <w:t xml:space="preserve"> which generally only consider data back to 1980. To understand the impact of this change, a Winter sensitivity was performed </w:t>
      </w:r>
      <w:r w:rsidR="00491696">
        <w:t xml:space="preserve">using </w:t>
      </w:r>
      <w:r w:rsidR="00040E12" w:rsidRPr="440F262C">
        <w:t>all 61 weather years</w:t>
      </w:r>
      <w:r w:rsidR="00491696">
        <w:t>, which is</w:t>
      </w:r>
      <w:r w:rsidR="00040E12">
        <w:rPr>
          <w:szCs w:val="24"/>
        </w:rPr>
        <w:t xml:space="preserve"> </w:t>
      </w:r>
      <w:r w:rsidR="00040E12" w:rsidRPr="440F262C">
        <w:t xml:space="preserve">discussed in Section </w:t>
      </w:r>
      <w:r w:rsidR="00040E12">
        <w:rPr>
          <w:szCs w:val="24"/>
        </w:rPr>
        <w:fldChar w:fldCharType="begin"/>
      </w:r>
      <w:r w:rsidR="00040E12">
        <w:rPr>
          <w:szCs w:val="24"/>
        </w:rPr>
        <w:instrText xml:space="preserve"> REF _Ref165023065 \r \h </w:instrText>
      </w:r>
      <w:r w:rsidR="00040E12">
        <w:rPr>
          <w:szCs w:val="24"/>
        </w:rPr>
      </w:r>
      <w:r w:rsidR="00040E12">
        <w:rPr>
          <w:szCs w:val="24"/>
        </w:rPr>
        <w:fldChar w:fldCharType="separate"/>
      </w:r>
      <w:r w:rsidR="00040E12" w:rsidRPr="440F262C">
        <w:t>IV</w:t>
      </w:r>
      <w:r w:rsidR="00040E12">
        <w:rPr>
          <w:szCs w:val="24"/>
        </w:rPr>
        <w:fldChar w:fldCharType="end"/>
      </w:r>
      <w:r w:rsidR="00040E12">
        <w:rPr>
          <w:szCs w:val="24"/>
        </w:rPr>
        <w:t>.</w:t>
      </w:r>
    </w:p>
    <w:p w14:paraId="7EF0792E" w14:textId="77777777" w:rsidR="004B49A6" w:rsidRPr="00DB641B" w:rsidRDefault="004B49A6" w:rsidP="00F77FF1">
      <w:pPr>
        <w:rPr>
          <w:szCs w:val="24"/>
        </w:rPr>
      </w:pPr>
    </w:p>
    <w:p w14:paraId="6A65E081" w14:textId="0E9E0EE4" w:rsidR="004B49A6" w:rsidRDefault="004B49A6" w:rsidP="00F77FF1">
      <w:pPr>
        <w:rPr>
          <w:szCs w:val="24"/>
        </w:rPr>
      </w:pPr>
      <w:r w:rsidRPr="00DB641B">
        <w:rPr>
          <w:szCs w:val="24"/>
        </w:rPr>
        <w:t xml:space="preserve">The weather year load shapes were developed by using a </w:t>
      </w:r>
      <w:r w:rsidR="00A72348">
        <w:rPr>
          <w:szCs w:val="24"/>
        </w:rPr>
        <w:t xml:space="preserve">forecasting </w:t>
      </w:r>
      <w:r w:rsidRPr="00DB641B">
        <w:rPr>
          <w:szCs w:val="24"/>
        </w:rPr>
        <w:t xml:space="preserve">model to establish the relationship between the weather and load. The </w:t>
      </w:r>
      <w:r w:rsidR="00A72348">
        <w:rPr>
          <w:szCs w:val="24"/>
        </w:rPr>
        <w:t>model</w:t>
      </w:r>
      <w:r w:rsidRPr="00DB641B">
        <w:rPr>
          <w:szCs w:val="24"/>
        </w:rPr>
        <w:t xml:space="preserve"> was</w:t>
      </w:r>
      <w:r>
        <w:rPr>
          <w:szCs w:val="24"/>
        </w:rPr>
        <w:t xml:space="preserve"> calibrated</w:t>
      </w:r>
      <w:r w:rsidRPr="00DB641B">
        <w:rPr>
          <w:szCs w:val="24"/>
        </w:rPr>
        <w:t xml:space="preserve"> using weather and load data </w:t>
      </w:r>
      <w:r>
        <w:rPr>
          <w:szCs w:val="24"/>
        </w:rPr>
        <w:t>for the years 201</w:t>
      </w:r>
      <w:r w:rsidR="00561830">
        <w:rPr>
          <w:szCs w:val="24"/>
        </w:rPr>
        <w:t>7</w:t>
      </w:r>
      <w:r>
        <w:rPr>
          <w:szCs w:val="24"/>
        </w:rPr>
        <w:t xml:space="preserve"> thr</w:t>
      </w:r>
      <w:r w:rsidR="00EE2DB2">
        <w:rPr>
          <w:szCs w:val="24"/>
        </w:rPr>
        <w:t>ough</w:t>
      </w:r>
      <w:r>
        <w:rPr>
          <w:szCs w:val="24"/>
        </w:rPr>
        <w:t xml:space="preserve"> 20</w:t>
      </w:r>
      <w:r w:rsidR="00561830">
        <w:rPr>
          <w:szCs w:val="24"/>
        </w:rPr>
        <w:t>22</w:t>
      </w:r>
      <w:r>
        <w:rPr>
          <w:szCs w:val="24"/>
        </w:rPr>
        <w:t xml:space="preserve"> </w:t>
      </w:r>
      <w:r w:rsidR="001F3DD2">
        <w:rPr>
          <w:szCs w:val="24"/>
        </w:rPr>
        <w:t xml:space="preserve">to reflect </w:t>
      </w:r>
      <w:r w:rsidR="00CF2CAB">
        <w:rPr>
          <w:szCs w:val="24"/>
        </w:rPr>
        <w:t>recent customer</w:t>
      </w:r>
      <w:r w:rsidR="00CF2CAB" w:rsidRPr="00DB641B">
        <w:rPr>
          <w:szCs w:val="24"/>
        </w:rPr>
        <w:t xml:space="preserve"> </w:t>
      </w:r>
      <w:r w:rsidRPr="00DB641B">
        <w:rPr>
          <w:szCs w:val="24"/>
        </w:rPr>
        <w:t xml:space="preserve">usage patterns. The </w:t>
      </w:r>
      <w:r>
        <w:rPr>
          <w:szCs w:val="24"/>
        </w:rPr>
        <w:t>calibrated</w:t>
      </w:r>
      <w:r w:rsidRPr="00DB641B">
        <w:rPr>
          <w:szCs w:val="24"/>
        </w:rPr>
        <w:t xml:space="preserve"> </w:t>
      </w:r>
      <w:r w:rsidR="00A72348">
        <w:rPr>
          <w:szCs w:val="24"/>
        </w:rPr>
        <w:t xml:space="preserve">model </w:t>
      </w:r>
      <w:r w:rsidRPr="00DB641B">
        <w:rPr>
          <w:szCs w:val="24"/>
        </w:rPr>
        <w:t>was then used to construct the 1</w:t>
      </w:r>
      <w:r w:rsidR="00561830">
        <w:rPr>
          <w:szCs w:val="24"/>
        </w:rPr>
        <w:t>00</w:t>
      </w:r>
      <w:r w:rsidRPr="00DB641B">
        <w:rPr>
          <w:szCs w:val="24"/>
        </w:rPr>
        <w:t xml:space="preserve"> weather year load shapes using the 5</w:t>
      </w:r>
      <w:r w:rsidR="00561830">
        <w:rPr>
          <w:szCs w:val="24"/>
        </w:rPr>
        <w:t>0</w:t>
      </w:r>
      <w:r w:rsidRPr="00DB641B">
        <w:rPr>
          <w:szCs w:val="24"/>
        </w:rPr>
        <w:t xml:space="preserve"> historical weather patterns and </w:t>
      </w:r>
      <w:r>
        <w:rPr>
          <w:szCs w:val="24"/>
        </w:rPr>
        <w:t>two</w:t>
      </w:r>
      <w:r w:rsidRPr="00DB641B">
        <w:rPr>
          <w:szCs w:val="24"/>
        </w:rPr>
        <w:t xml:space="preserve"> start days.</w:t>
      </w:r>
      <w:r>
        <w:rPr>
          <w:szCs w:val="24"/>
        </w:rPr>
        <w:t xml:space="preserve"> </w:t>
      </w:r>
      <w:r w:rsidRPr="00DB641B">
        <w:rPr>
          <w:szCs w:val="24"/>
        </w:rPr>
        <w:t>The resulting loads are integrated hourly load shapes</w:t>
      </w:r>
      <w:r w:rsidR="001F3DD2">
        <w:rPr>
          <w:szCs w:val="24"/>
        </w:rPr>
        <w:t xml:space="preserve"> for each of the 100 weather years</w:t>
      </w:r>
      <w:r w:rsidRPr="00DB641B">
        <w:rPr>
          <w:szCs w:val="24"/>
        </w:rPr>
        <w:t xml:space="preserve">. </w:t>
      </w:r>
    </w:p>
    <w:p w14:paraId="6162AC5F" w14:textId="77777777" w:rsidR="004B49A6" w:rsidRPr="00DB641B" w:rsidRDefault="004B49A6" w:rsidP="00F77FF1">
      <w:pPr>
        <w:rPr>
          <w:szCs w:val="24"/>
        </w:rPr>
      </w:pPr>
    </w:p>
    <w:p w14:paraId="217BADDA" w14:textId="53F902F1" w:rsidR="004B49A6" w:rsidRPr="00DB641B" w:rsidRDefault="004B49A6" w:rsidP="00F77FF1">
      <w:pPr>
        <w:rPr>
          <w:szCs w:val="24"/>
        </w:rPr>
      </w:pPr>
      <w:r w:rsidRPr="00DB641B">
        <w:rPr>
          <w:szCs w:val="24"/>
        </w:rPr>
        <w:t xml:space="preserve">The temperature data </w:t>
      </w:r>
      <w:r>
        <w:rPr>
          <w:szCs w:val="24"/>
        </w:rPr>
        <w:t>used to develop these load shapes</w:t>
      </w:r>
      <w:r w:rsidRPr="00DB641B">
        <w:rPr>
          <w:szCs w:val="24"/>
        </w:rPr>
        <w:t xml:space="preserve"> reflect the </w:t>
      </w:r>
      <w:r w:rsidRPr="00574669">
        <w:rPr>
          <w:szCs w:val="24"/>
        </w:rPr>
        <w:t xml:space="preserve">system weighted average temperature of several locations around the System’s footprint. </w:t>
      </w:r>
      <w:r w:rsidR="00621BF1">
        <w:rPr>
          <w:szCs w:val="24"/>
        </w:rPr>
        <w:fldChar w:fldCharType="begin"/>
      </w:r>
      <w:r w:rsidR="00621BF1">
        <w:rPr>
          <w:szCs w:val="24"/>
        </w:rPr>
        <w:instrText xml:space="preserve"> REF _Ref513785386 \h </w:instrText>
      </w:r>
      <w:r w:rsidR="00621BF1">
        <w:rPr>
          <w:szCs w:val="24"/>
        </w:rPr>
      </w:r>
      <w:r w:rsidR="00621BF1">
        <w:rPr>
          <w:szCs w:val="24"/>
        </w:rPr>
        <w:fldChar w:fldCharType="separate"/>
      </w:r>
      <w:r w:rsidR="00161C58">
        <w:t xml:space="preserve">Figure </w:t>
      </w:r>
      <w:r w:rsidR="00161C58">
        <w:rPr>
          <w:noProof/>
        </w:rPr>
        <w:t>I</w:t>
      </w:r>
      <w:r w:rsidR="00161C58">
        <w:t>.</w:t>
      </w:r>
      <w:r w:rsidR="00161C58">
        <w:rPr>
          <w:noProof/>
        </w:rPr>
        <w:t>1</w:t>
      </w:r>
      <w:r w:rsidR="00621BF1">
        <w:rPr>
          <w:szCs w:val="24"/>
        </w:rPr>
        <w:fldChar w:fldCharType="end"/>
      </w:r>
      <w:r w:rsidRPr="00574669">
        <w:rPr>
          <w:szCs w:val="24"/>
        </w:rPr>
        <w:t xml:space="preserve"> and </w:t>
      </w:r>
      <w:r w:rsidR="00621BF1">
        <w:rPr>
          <w:szCs w:val="24"/>
        </w:rPr>
        <w:fldChar w:fldCharType="begin"/>
      </w:r>
      <w:r w:rsidR="00621BF1">
        <w:rPr>
          <w:szCs w:val="24"/>
        </w:rPr>
        <w:instrText xml:space="preserve"> REF _Ref513785456 \h </w:instrText>
      </w:r>
      <w:r w:rsidR="00621BF1">
        <w:rPr>
          <w:szCs w:val="24"/>
        </w:rPr>
      </w:r>
      <w:r w:rsidR="00621BF1">
        <w:rPr>
          <w:szCs w:val="24"/>
        </w:rPr>
        <w:fldChar w:fldCharType="separate"/>
      </w:r>
      <w:r w:rsidR="00161C58">
        <w:t xml:space="preserve">Figure </w:t>
      </w:r>
      <w:r w:rsidR="00161C58">
        <w:rPr>
          <w:noProof/>
        </w:rPr>
        <w:t>I</w:t>
      </w:r>
      <w:r w:rsidR="00161C58">
        <w:t>.</w:t>
      </w:r>
      <w:r w:rsidR="00161C58">
        <w:rPr>
          <w:noProof/>
        </w:rPr>
        <w:t>2</w:t>
      </w:r>
      <w:r w:rsidR="00621BF1">
        <w:rPr>
          <w:szCs w:val="24"/>
        </w:rPr>
        <w:fldChar w:fldCharType="end"/>
      </w:r>
      <w:r w:rsidRPr="00574669">
        <w:rPr>
          <w:szCs w:val="24"/>
        </w:rPr>
        <w:t xml:space="preserve"> show the historical low winter and high summer temperatures experienced </w:t>
      </w:r>
      <w:r w:rsidR="004C22B7">
        <w:rPr>
          <w:szCs w:val="24"/>
        </w:rPr>
        <w:t>for the 5</w:t>
      </w:r>
      <w:r w:rsidR="00561830">
        <w:rPr>
          <w:szCs w:val="24"/>
        </w:rPr>
        <w:t>0</w:t>
      </w:r>
      <w:r w:rsidR="004C22B7">
        <w:rPr>
          <w:szCs w:val="24"/>
        </w:rPr>
        <w:t xml:space="preserve"> weather years modeled</w:t>
      </w:r>
      <w:r w:rsidRPr="00574669">
        <w:rPr>
          <w:szCs w:val="24"/>
        </w:rPr>
        <w:t>.</w:t>
      </w:r>
      <w:r w:rsidR="00A648A6">
        <w:rPr>
          <w:szCs w:val="24"/>
        </w:rPr>
        <w:t xml:space="preserve"> </w:t>
      </w:r>
    </w:p>
    <w:p w14:paraId="20C948E8" w14:textId="38AF486A" w:rsidR="00315B4B" w:rsidRDefault="00F303E9" w:rsidP="00315B4B">
      <w:pPr>
        <w:keepNext/>
      </w:pPr>
      <w:r>
        <w:rPr>
          <w:noProof/>
        </w:rPr>
        <w:drawing>
          <wp:inline distT="0" distB="0" distL="0" distR="0" wp14:anchorId="733668CC" wp14:editId="5F3E20C8">
            <wp:extent cx="5897105" cy="4284170"/>
            <wp:effectExtent l="0" t="0" r="8890" b="2540"/>
            <wp:docPr id="18577761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8592" cy="4292515"/>
                    </a:xfrm>
                    <a:prstGeom prst="rect">
                      <a:avLst/>
                    </a:prstGeom>
                    <a:noFill/>
                  </pic:spPr>
                </pic:pic>
              </a:graphicData>
            </a:graphic>
          </wp:inline>
        </w:drawing>
      </w:r>
    </w:p>
    <w:p w14:paraId="64FEB569" w14:textId="54C0AE9E" w:rsidR="004B49A6" w:rsidRPr="00DB641B" w:rsidRDefault="00315B4B" w:rsidP="0053151C">
      <w:pPr>
        <w:pStyle w:val="Caption"/>
        <w:jc w:val="both"/>
        <w:rPr>
          <w:szCs w:val="24"/>
        </w:rPr>
      </w:pPr>
      <w:bookmarkStart w:id="51" w:name="_Ref513785386"/>
      <w:bookmarkStart w:id="52" w:name="_Toc187234661"/>
      <w:r>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w:t>
      </w:r>
      <w:r w:rsidR="00F262E6">
        <w:fldChar w:fldCharType="end"/>
      </w:r>
      <w:bookmarkStart w:id="53" w:name="_Toc513710580"/>
      <w:bookmarkEnd w:id="51"/>
      <w:r w:rsidR="0053151C">
        <w:t>. Historical Low Winter Temperatures</w:t>
      </w:r>
      <w:bookmarkEnd w:id="52"/>
      <w:bookmarkEnd w:id="53"/>
    </w:p>
    <w:p w14:paraId="1A8261C7" w14:textId="22B25445" w:rsidR="004B49A6" w:rsidRDefault="00A648A6" w:rsidP="00F77FF1">
      <w:pPr>
        <w:pStyle w:val="Caption"/>
        <w:keepNext/>
        <w:jc w:val="both"/>
        <w:rPr>
          <w:highlight w:val="yellow"/>
        </w:rPr>
      </w:pPr>
      <w:r>
        <w:rPr>
          <w:highlight w:val="yellow"/>
        </w:rPr>
        <w:t xml:space="preserve">                         </w:t>
      </w:r>
      <w:r w:rsidR="005203B0">
        <w:rPr>
          <w:highlight w:val="yellow"/>
        </w:rPr>
        <w:t xml:space="preserve"> </w:t>
      </w:r>
    </w:p>
    <w:p w14:paraId="16EDC099" w14:textId="77777777" w:rsidR="00D93D7D" w:rsidRDefault="00D93D7D">
      <w:pPr>
        <w:spacing w:line="240" w:lineRule="auto"/>
        <w:jc w:val="left"/>
        <w:rPr>
          <w:b/>
          <w:bCs/>
        </w:rPr>
      </w:pPr>
      <w:r>
        <w:br w:type="page"/>
      </w:r>
    </w:p>
    <w:p w14:paraId="3A0274FD" w14:textId="246075F7" w:rsidR="00621BF1" w:rsidRDefault="00F303E9" w:rsidP="00621BF1">
      <w:pPr>
        <w:keepNext/>
      </w:pPr>
      <w:r>
        <w:rPr>
          <w:noProof/>
        </w:rPr>
        <w:drawing>
          <wp:inline distT="0" distB="0" distL="0" distR="0" wp14:anchorId="5ADFC25A" wp14:editId="531B2994">
            <wp:extent cx="5910322" cy="4293772"/>
            <wp:effectExtent l="0" t="0" r="0" b="0"/>
            <wp:docPr id="5268388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0238" cy="4308241"/>
                    </a:xfrm>
                    <a:prstGeom prst="rect">
                      <a:avLst/>
                    </a:prstGeom>
                    <a:noFill/>
                  </pic:spPr>
                </pic:pic>
              </a:graphicData>
            </a:graphic>
          </wp:inline>
        </w:drawing>
      </w:r>
    </w:p>
    <w:p w14:paraId="0B4EEBB9" w14:textId="502A7A90" w:rsidR="0053151C" w:rsidRDefault="00621BF1" w:rsidP="00621BF1">
      <w:pPr>
        <w:pStyle w:val="Caption"/>
        <w:jc w:val="both"/>
      </w:pPr>
      <w:bookmarkStart w:id="54" w:name="_Ref513785456"/>
      <w:bookmarkStart w:id="55" w:name="_Toc187234662"/>
      <w:r>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2</w:t>
      </w:r>
      <w:r w:rsidR="00F262E6">
        <w:fldChar w:fldCharType="end"/>
      </w:r>
      <w:bookmarkEnd w:id="54"/>
      <w:r>
        <w:t xml:space="preserve"> </w:t>
      </w:r>
      <w:r w:rsidRPr="00854932">
        <w:t>Historical High Summer Temperatures</w:t>
      </w:r>
      <w:bookmarkEnd w:id="55"/>
    </w:p>
    <w:p w14:paraId="7C6B175B" w14:textId="77777777" w:rsidR="00743A70" w:rsidRDefault="00743A70" w:rsidP="00F77FF1"/>
    <w:p w14:paraId="6DB5DB91" w14:textId="168EB3FC" w:rsidR="004B49A6" w:rsidRDefault="00CF646F" w:rsidP="00F77FF1">
      <w:r>
        <w:t>The final load shape</w:t>
      </w:r>
      <w:r w:rsidR="005C3406">
        <w:t>s can also be used to show a probability distribution around the forecasted weather-normal peak loads. This distribution is determined by the expectation of non-weather-normal conditions, represented by the 1</w:t>
      </w:r>
      <w:r w:rsidR="00EF68B0">
        <w:t>00</w:t>
      </w:r>
      <w:r w:rsidR="005C3406">
        <w:t xml:space="preserve"> modeled load shapes. </w:t>
      </w:r>
      <w:r w:rsidR="008D1228">
        <w:fldChar w:fldCharType="begin"/>
      </w:r>
      <w:r w:rsidR="008D1228">
        <w:instrText xml:space="preserve"> REF _Ref83891869 \h </w:instrText>
      </w:r>
      <w:r w:rsidR="008D1228">
        <w:fldChar w:fldCharType="separate"/>
      </w:r>
      <w:r w:rsidR="00161C58">
        <w:t xml:space="preserve">Figure </w:t>
      </w:r>
      <w:r w:rsidR="00161C58">
        <w:rPr>
          <w:noProof/>
        </w:rPr>
        <w:t>I</w:t>
      </w:r>
      <w:r w:rsidR="00161C58">
        <w:t>.</w:t>
      </w:r>
      <w:r w:rsidR="00161C58">
        <w:rPr>
          <w:noProof/>
        </w:rPr>
        <w:t>3</w:t>
      </w:r>
      <w:r w:rsidR="008D1228">
        <w:fldChar w:fldCharType="end"/>
      </w:r>
      <w:r w:rsidR="005C3406">
        <w:t xml:space="preserve"> below shows the distribution or peak volatility for each season.</w:t>
      </w:r>
    </w:p>
    <w:p w14:paraId="243A4365" w14:textId="68A6998C" w:rsidR="005C3406" w:rsidRDefault="00F303E9" w:rsidP="005C3406">
      <w:pPr>
        <w:keepNext/>
      </w:pPr>
      <w:r>
        <w:rPr>
          <w:noProof/>
        </w:rPr>
        <w:drawing>
          <wp:inline distT="0" distB="0" distL="0" distR="0" wp14:anchorId="493BF397" wp14:editId="4E2E930D">
            <wp:extent cx="5935612" cy="4307797"/>
            <wp:effectExtent l="0" t="0" r="8255" b="0"/>
            <wp:docPr id="1003053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860" cy="4313783"/>
                    </a:xfrm>
                    <a:prstGeom prst="rect">
                      <a:avLst/>
                    </a:prstGeom>
                    <a:noFill/>
                  </pic:spPr>
                </pic:pic>
              </a:graphicData>
            </a:graphic>
          </wp:inline>
        </w:drawing>
      </w:r>
    </w:p>
    <w:p w14:paraId="6F4A167E" w14:textId="5ECD635E" w:rsidR="00CF646F" w:rsidRDefault="005C3406" w:rsidP="005C3406">
      <w:pPr>
        <w:pStyle w:val="Caption"/>
        <w:jc w:val="both"/>
      </w:pPr>
      <w:bookmarkStart w:id="56" w:name="_Ref83891869"/>
      <w:bookmarkStart w:id="57" w:name="_Toc187234663"/>
      <w:r>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3</w:t>
      </w:r>
      <w:r w:rsidR="00F262E6">
        <w:fldChar w:fldCharType="end"/>
      </w:r>
      <w:bookmarkEnd w:id="56"/>
      <w:r>
        <w:t xml:space="preserve"> Distribution of Modeled Summer and Winter Peak Loads</w:t>
      </w:r>
      <w:bookmarkEnd w:id="57"/>
    </w:p>
    <w:p w14:paraId="255ECEDA" w14:textId="47AD5CBC" w:rsidR="00CF646F" w:rsidRPr="00DB641B" w:rsidRDefault="663ACA9E" w:rsidP="00F77FF1">
      <w:r>
        <w:t>It should be noted that the 2024</w:t>
      </w:r>
      <w:r w:rsidR="289679C1">
        <w:t xml:space="preserve"> Study</w:t>
      </w:r>
      <w:r w:rsidR="53AFA07F">
        <w:t xml:space="preserve"> winter</w:t>
      </w:r>
      <w:r w:rsidR="289679C1">
        <w:t xml:space="preserve"> peak demands at the highest percentiles are as much as 4.9% higher th</w:t>
      </w:r>
      <w:r w:rsidR="31500110">
        <w:t>an</w:t>
      </w:r>
      <w:r w:rsidR="289679C1">
        <w:t xml:space="preserve"> those </w:t>
      </w:r>
      <w:r w:rsidR="11F4F57E">
        <w:t>in the 2021 Study.</w:t>
      </w:r>
    </w:p>
    <w:p w14:paraId="503AE1C1" w14:textId="5669006D" w:rsidR="21F6B429" w:rsidRDefault="21F6B429">
      <w:bookmarkStart w:id="58" w:name="_Market_Modeling"/>
      <w:bookmarkEnd w:id="58"/>
    </w:p>
    <w:p w14:paraId="74B52ED3" w14:textId="77777777" w:rsidR="004B49A6" w:rsidRPr="00421157" w:rsidRDefault="004B49A6" w:rsidP="00C56A27">
      <w:pPr>
        <w:pStyle w:val="Heading2"/>
        <w:numPr>
          <w:ilvl w:val="1"/>
          <w:numId w:val="13"/>
        </w:numPr>
        <w:ind w:left="360"/>
      </w:pPr>
      <w:r w:rsidRPr="00DB641B">
        <w:t xml:space="preserve"> </w:t>
      </w:r>
      <w:bookmarkStart w:id="59" w:name="_Toc513710330"/>
      <w:bookmarkStart w:id="60" w:name="_Toc187234590"/>
      <w:r w:rsidRPr="00DB641B">
        <w:t>Market Modeling</w:t>
      </w:r>
      <w:bookmarkEnd w:id="45"/>
      <w:bookmarkEnd w:id="46"/>
      <w:bookmarkEnd w:id="47"/>
      <w:bookmarkEnd w:id="59"/>
      <w:bookmarkEnd w:id="60"/>
    </w:p>
    <w:p w14:paraId="65D25D3F" w14:textId="5658B7EA" w:rsidR="004B49A6" w:rsidRPr="00372AC4" w:rsidRDefault="004B49A6" w:rsidP="00212541">
      <w:pPr>
        <w:rPr>
          <w:szCs w:val="24"/>
        </w:rPr>
      </w:pPr>
      <w:r w:rsidRPr="00B138F0">
        <w:rPr>
          <w:szCs w:val="24"/>
        </w:rPr>
        <w:t xml:space="preserve">The </w:t>
      </w:r>
      <w:r w:rsidR="00BA1A48">
        <w:rPr>
          <w:szCs w:val="24"/>
        </w:rPr>
        <w:t xml:space="preserve">SERVM </w:t>
      </w:r>
      <w:r w:rsidRPr="00B138F0">
        <w:rPr>
          <w:szCs w:val="24"/>
        </w:rPr>
        <w:t xml:space="preserve">model allows </w:t>
      </w:r>
      <w:r>
        <w:rPr>
          <w:szCs w:val="24"/>
        </w:rPr>
        <w:t>the System</w:t>
      </w:r>
      <w:r w:rsidRPr="00B138F0">
        <w:rPr>
          <w:szCs w:val="24"/>
        </w:rPr>
        <w:t xml:space="preserve"> to account for expected support from </w:t>
      </w:r>
      <w:r w:rsidR="006D2850">
        <w:rPr>
          <w:szCs w:val="24"/>
        </w:rPr>
        <w:t xml:space="preserve">neighboring </w:t>
      </w:r>
      <w:r w:rsidR="00612C33">
        <w:rPr>
          <w:szCs w:val="24"/>
        </w:rPr>
        <w:t>regions</w:t>
      </w:r>
      <w:r w:rsidR="006D2850" w:rsidRPr="00B138F0">
        <w:rPr>
          <w:szCs w:val="24"/>
        </w:rPr>
        <w:t xml:space="preserve"> </w:t>
      </w:r>
      <w:r w:rsidRPr="00217F0E">
        <w:rPr>
          <w:szCs w:val="24"/>
        </w:rPr>
        <w:t>based on historical load diversity</w:t>
      </w:r>
      <w:r>
        <w:rPr>
          <w:szCs w:val="24"/>
        </w:rPr>
        <w:t xml:space="preserve"> and unit performance diversity</w:t>
      </w:r>
      <w:r w:rsidRPr="00217F0E">
        <w:rPr>
          <w:szCs w:val="24"/>
        </w:rPr>
        <w:t xml:space="preserve">. Each weather year modeled uses the actual historical temperature and related load diversity for each region. </w:t>
      </w:r>
      <w:r>
        <w:rPr>
          <w:szCs w:val="24"/>
        </w:rPr>
        <w:t>The System</w:t>
      </w:r>
      <w:r w:rsidRPr="00372AC4">
        <w:rPr>
          <w:szCs w:val="24"/>
        </w:rPr>
        <w:t xml:space="preserve"> is expected to be able to buy power </w:t>
      </w:r>
      <w:r>
        <w:rPr>
          <w:szCs w:val="24"/>
        </w:rPr>
        <w:t>from</w:t>
      </w:r>
      <w:r w:rsidRPr="00372AC4">
        <w:rPr>
          <w:szCs w:val="24"/>
        </w:rPr>
        <w:t xml:space="preserve"> neighbor</w:t>
      </w:r>
      <w:r w:rsidR="006D2850">
        <w:rPr>
          <w:szCs w:val="24"/>
        </w:rPr>
        <w:t xml:space="preserve">ing </w:t>
      </w:r>
      <w:r w:rsidR="00612C33">
        <w:rPr>
          <w:szCs w:val="24"/>
        </w:rPr>
        <w:t>regions</w:t>
      </w:r>
      <w:r w:rsidRPr="00372AC4">
        <w:rPr>
          <w:szCs w:val="24"/>
        </w:rPr>
        <w:t xml:space="preserve"> </w:t>
      </w:r>
      <w:r>
        <w:rPr>
          <w:szCs w:val="24"/>
        </w:rPr>
        <w:t xml:space="preserve">that </w:t>
      </w:r>
      <w:r w:rsidRPr="00372AC4">
        <w:rPr>
          <w:szCs w:val="24"/>
        </w:rPr>
        <w:t xml:space="preserve">do not typically peak in the same hour as </w:t>
      </w:r>
      <w:r>
        <w:rPr>
          <w:szCs w:val="24"/>
        </w:rPr>
        <w:t>the System</w:t>
      </w:r>
      <w:r w:rsidRPr="00372AC4">
        <w:rPr>
          <w:szCs w:val="24"/>
        </w:rPr>
        <w:t xml:space="preserve"> </w:t>
      </w:r>
      <w:r w:rsidR="00476D38">
        <w:rPr>
          <w:szCs w:val="24"/>
        </w:rPr>
        <w:t>if those neighbor</w:t>
      </w:r>
      <w:r w:rsidR="006D2850">
        <w:rPr>
          <w:szCs w:val="24"/>
        </w:rPr>
        <w:t xml:space="preserve">ing </w:t>
      </w:r>
      <w:r w:rsidR="00612C33">
        <w:rPr>
          <w:szCs w:val="24"/>
        </w:rPr>
        <w:t>region</w:t>
      </w:r>
      <w:r w:rsidR="00476D38">
        <w:rPr>
          <w:szCs w:val="24"/>
        </w:rPr>
        <w:t xml:space="preserve">s have capacity available to purchase. </w:t>
      </w:r>
    </w:p>
    <w:p w14:paraId="525018D2" w14:textId="77777777" w:rsidR="004B49A6" w:rsidRPr="00124600" w:rsidRDefault="004B49A6" w:rsidP="00212541"/>
    <w:p w14:paraId="65D50F72" w14:textId="063FF5F4" w:rsidR="004B49A6" w:rsidRPr="00372AC4" w:rsidRDefault="6CEADD87" w:rsidP="00212541">
      <w:r>
        <w:t>Resource adequacy planning requires modelers to build assumptions about the level of support available from neighboring regions. The actual operation of each unit for every neighbor</w:t>
      </w:r>
      <w:r w:rsidR="1D6BBB89">
        <w:t xml:space="preserve">ing </w:t>
      </w:r>
      <w:r w:rsidR="3DE1CD78">
        <w:t>region</w:t>
      </w:r>
      <w:r>
        <w:t xml:space="preserve"> is modeled in the same way that resources are modeled within the System. Hydro, CTs, base load thermal resources, renewables, </w:t>
      </w:r>
      <w:r w:rsidR="21D3D8B9">
        <w:t>energy storage,</w:t>
      </w:r>
      <w:r w:rsidR="7686BC2B">
        <w:t xml:space="preserve"> </w:t>
      </w:r>
      <w:r>
        <w:t xml:space="preserve">and </w:t>
      </w:r>
      <w:r w:rsidR="6CF23D4A">
        <w:t>d</w:t>
      </w:r>
      <w:r w:rsidR="41DD6205">
        <w:t xml:space="preserve">emand </w:t>
      </w:r>
      <w:r w:rsidR="6CF23D4A">
        <w:t>r</w:t>
      </w:r>
      <w:r w:rsidR="41DD6205">
        <w:t xml:space="preserve">esponse </w:t>
      </w:r>
      <w:r w:rsidR="6CF23D4A">
        <w:t>r</w:t>
      </w:r>
      <w:r w:rsidR="41DD6205">
        <w:t>esources (“</w:t>
      </w:r>
      <w:r w:rsidR="0B723A1C">
        <w:t>DRRs</w:t>
      </w:r>
      <w:r w:rsidR="41DD6205">
        <w:t>”)</w:t>
      </w:r>
      <w:r w:rsidR="0B723A1C">
        <w:t xml:space="preserve"> </w:t>
      </w:r>
      <w:r>
        <w:t xml:space="preserve">are discretely modeled so that an accurate hourly market price forecast is produced. The CTs that have been </w:t>
      </w:r>
      <w:r w:rsidR="6A29137D">
        <w:t xml:space="preserve">modeled </w:t>
      </w:r>
      <w:r>
        <w:t xml:space="preserve">as marginal units to the System </w:t>
      </w:r>
      <w:r w:rsidR="0B723A1C">
        <w:t xml:space="preserve">for purposes of developing the U-Curves </w:t>
      </w:r>
      <w:r>
        <w:t xml:space="preserve">are used to avoid purchasing from neighbors at high costs when they are either </w:t>
      </w:r>
      <w:r w:rsidR="5EE5F8BB">
        <w:t>dispatching</w:t>
      </w:r>
      <w:r>
        <w:t xml:space="preserve"> high</w:t>
      </w:r>
      <w:r w:rsidR="2871DDA8">
        <w:t>-</w:t>
      </w:r>
      <w:r>
        <w:t>cost resources or in</w:t>
      </w:r>
      <w:r w:rsidR="04FCD140">
        <w:t xml:space="preserve"> system</w:t>
      </w:r>
      <w:r>
        <w:t xml:space="preserve"> scarcity situations.</w:t>
      </w:r>
    </w:p>
    <w:p w14:paraId="39BE7C7B" w14:textId="77777777" w:rsidR="004B49A6" w:rsidRPr="00372AC4" w:rsidRDefault="004B49A6" w:rsidP="00217F0E">
      <w:pPr>
        <w:rPr>
          <w:szCs w:val="24"/>
        </w:rPr>
      </w:pPr>
    </w:p>
    <w:p w14:paraId="5BBA3C05" w14:textId="57E88AF6" w:rsidR="004B49A6" w:rsidRDefault="004B49A6" w:rsidP="00F77FF1">
      <w:r w:rsidRPr="440F262C">
        <w:t xml:space="preserve">The </w:t>
      </w:r>
      <w:r w:rsidR="00612C33" w:rsidRPr="440F262C">
        <w:t xml:space="preserve">neighboring </w:t>
      </w:r>
      <w:r w:rsidRPr="440F262C">
        <w:t>regions used in the simulation are summarized in</w:t>
      </w:r>
      <w:r w:rsidRPr="00372AC4">
        <w:rPr>
          <w:szCs w:val="24"/>
        </w:rPr>
        <w:t xml:space="preserve"> </w:t>
      </w:r>
      <w:r w:rsidR="00621BF1">
        <w:rPr>
          <w:szCs w:val="24"/>
        </w:rPr>
        <w:fldChar w:fldCharType="begin"/>
      </w:r>
      <w:r w:rsidR="00621BF1">
        <w:rPr>
          <w:szCs w:val="24"/>
        </w:rPr>
        <w:instrText xml:space="preserve"> REF _Ref513785495 \h </w:instrText>
      </w:r>
      <w:r w:rsidR="00621BF1">
        <w:rPr>
          <w:szCs w:val="24"/>
        </w:rPr>
      </w:r>
      <w:r w:rsidR="00621BF1">
        <w:rPr>
          <w:szCs w:val="24"/>
        </w:rPr>
        <w:fldChar w:fldCharType="separate"/>
      </w:r>
      <w:r w:rsidR="00161C58">
        <w:t xml:space="preserve">Table </w:t>
      </w:r>
      <w:r w:rsidR="00161C58">
        <w:rPr>
          <w:noProof/>
        </w:rPr>
        <w:t>I</w:t>
      </w:r>
      <w:r w:rsidR="00161C58">
        <w:noBreakHyphen/>
      </w:r>
      <w:r w:rsidR="00161C58">
        <w:rPr>
          <w:noProof/>
        </w:rPr>
        <w:t>1</w:t>
      </w:r>
      <w:r w:rsidR="00621BF1">
        <w:rPr>
          <w:szCs w:val="24"/>
        </w:rPr>
        <w:fldChar w:fldCharType="end"/>
      </w:r>
      <w:r w:rsidRPr="440F262C">
        <w:t xml:space="preserve"> (for Summer) and </w:t>
      </w:r>
      <w:r w:rsidR="00621BF1">
        <w:rPr>
          <w:szCs w:val="24"/>
        </w:rPr>
        <w:fldChar w:fldCharType="begin"/>
      </w:r>
      <w:r w:rsidR="00621BF1">
        <w:rPr>
          <w:szCs w:val="24"/>
        </w:rPr>
        <w:instrText xml:space="preserve"> REF _Ref513785504 \h </w:instrText>
      </w:r>
      <w:r w:rsidR="00621BF1">
        <w:rPr>
          <w:szCs w:val="24"/>
        </w:rPr>
      </w:r>
      <w:r w:rsidR="00621BF1">
        <w:rPr>
          <w:szCs w:val="24"/>
        </w:rPr>
        <w:fldChar w:fldCharType="separate"/>
      </w:r>
      <w:r w:rsidR="00161C58">
        <w:t xml:space="preserve">Table </w:t>
      </w:r>
      <w:r w:rsidR="00161C58">
        <w:rPr>
          <w:noProof/>
        </w:rPr>
        <w:t>I</w:t>
      </w:r>
      <w:r w:rsidR="00161C58">
        <w:noBreakHyphen/>
      </w:r>
      <w:r w:rsidR="00161C58">
        <w:rPr>
          <w:noProof/>
        </w:rPr>
        <w:t>2</w:t>
      </w:r>
      <w:r w:rsidR="00621BF1">
        <w:rPr>
          <w:szCs w:val="24"/>
        </w:rPr>
        <w:fldChar w:fldCharType="end"/>
      </w:r>
      <w:r w:rsidRPr="440F262C">
        <w:t xml:space="preserve"> (for Winter) below</w:t>
      </w:r>
      <w:r>
        <w:rPr>
          <w:szCs w:val="24"/>
        </w:rPr>
        <w:t xml:space="preserve">. </w:t>
      </w:r>
      <w:r w:rsidR="66F6C6B9">
        <w:rPr>
          <w:szCs w:val="24"/>
        </w:rPr>
        <w:t>To ensure those regions have a reasonable level of reliability (approximately equival</w:t>
      </w:r>
      <w:r w:rsidR="54DA9B3F">
        <w:rPr>
          <w:szCs w:val="24"/>
        </w:rPr>
        <w:t>e</w:t>
      </w:r>
      <w:r w:rsidR="66F6C6B9">
        <w:rPr>
          <w:szCs w:val="24"/>
        </w:rPr>
        <w:t>nt to the 1:10 LOLE thre</w:t>
      </w:r>
      <w:r w:rsidR="5E8FD866">
        <w:rPr>
          <w:szCs w:val="24"/>
        </w:rPr>
        <w:t>shold)</w:t>
      </w:r>
      <w:r w:rsidR="530DDA75">
        <w:rPr>
          <w:szCs w:val="24"/>
        </w:rPr>
        <w:t>, additional generic resources were added</w:t>
      </w:r>
      <w:r w:rsidR="008A4180">
        <w:rPr>
          <w:szCs w:val="24"/>
        </w:rPr>
        <w:t xml:space="preserve"> to some regions</w:t>
      </w:r>
      <w:r w:rsidR="530DDA75">
        <w:rPr>
          <w:szCs w:val="24"/>
        </w:rPr>
        <w:t xml:space="preserve"> which resulted in </w:t>
      </w:r>
      <w:r w:rsidR="27769D2B" w:rsidRPr="72252BFC">
        <w:t>t</w:t>
      </w:r>
      <w:r w:rsidR="742F0CBB" w:rsidRPr="72252BFC">
        <w:t>he</w:t>
      </w:r>
      <w:r w:rsidRPr="440F262C">
        <w:t xml:space="preserve"> reserve margins modeled </w:t>
      </w:r>
      <w:r w:rsidR="008735C9" w:rsidRPr="440F262C">
        <w:t xml:space="preserve">in </w:t>
      </w:r>
      <w:r w:rsidR="008A4180">
        <w:t>those</w:t>
      </w:r>
      <w:r w:rsidRPr="440F262C">
        <w:t xml:space="preserve"> regions </w:t>
      </w:r>
      <w:r w:rsidR="008A4180">
        <w:t xml:space="preserve">being </w:t>
      </w:r>
      <w:r w:rsidR="2A7C2783" w:rsidRPr="72252BFC">
        <w:t xml:space="preserve">greater than </w:t>
      </w:r>
      <w:r w:rsidRPr="440F262C">
        <w:t>their published targets</w:t>
      </w:r>
      <w:r w:rsidR="70982E1C" w:rsidRPr="72252BFC">
        <w:t>.</w:t>
      </w:r>
      <w:r w:rsidR="00A648A6">
        <w:t xml:space="preserve"> </w:t>
      </w:r>
      <w:r w:rsidRPr="440F262C">
        <w:t xml:space="preserve">This is necessary since the regional model used in this analysis does not model </w:t>
      </w:r>
      <w:r w:rsidR="00384BD0" w:rsidRPr="440F262C">
        <w:t>a neighboring region’s</w:t>
      </w:r>
      <w:r w:rsidR="00612C33" w:rsidRPr="440F262C">
        <w:t xml:space="preserve"> other </w:t>
      </w:r>
      <w:r w:rsidRPr="440F262C">
        <w:t>interconnected regions</w:t>
      </w:r>
      <w:r w:rsidR="00384BD0">
        <w:rPr>
          <w:szCs w:val="24"/>
        </w:rPr>
        <w:t xml:space="preserve"> </w:t>
      </w:r>
      <w:r>
        <w:rPr>
          <w:szCs w:val="24"/>
        </w:rPr>
        <w:t>(</w:t>
      </w:r>
      <w:r w:rsidRPr="440F262C">
        <w:rPr>
          <w:i/>
          <w:iCs/>
        </w:rPr>
        <w:t>i.e.</w:t>
      </w:r>
      <w:r w:rsidRPr="440F262C">
        <w:t>, the 2</w:t>
      </w:r>
      <w:r w:rsidRPr="440F262C">
        <w:rPr>
          <w:vertAlign w:val="superscript"/>
        </w:rPr>
        <w:t>nd</w:t>
      </w:r>
      <w:r w:rsidRPr="440F262C">
        <w:t xml:space="preserve"> tier from </w:t>
      </w:r>
      <w:r w:rsidR="0051775B" w:rsidRPr="440F262C">
        <w:t>the System</w:t>
      </w:r>
      <w:r w:rsidRPr="440F262C">
        <w:t xml:space="preserve">) to account for </w:t>
      </w:r>
      <w:r w:rsidR="00384BD0" w:rsidRPr="440F262C">
        <w:t xml:space="preserve">the </w:t>
      </w:r>
      <w:r w:rsidRPr="440F262C">
        <w:t xml:space="preserve">reliability benefit </w:t>
      </w:r>
      <w:r w:rsidR="00384BD0" w:rsidRPr="440F262C">
        <w:t xml:space="preserve">a neighboring region may </w:t>
      </w:r>
      <w:r w:rsidRPr="440F262C">
        <w:t>obtain via purchases from</w:t>
      </w:r>
      <w:r w:rsidR="00384BD0" w:rsidRPr="440F262C">
        <w:t xml:space="preserve"> its own neighboring</w:t>
      </w:r>
      <w:r w:rsidRPr="440F262C">
        <w:t xml:space="preserve"> regions.</w:t>
      </w:r>
      <w:r w:rsidR="00A648A6">
        <w:t xml:space="preserve"> </w:t>
      </w:r>
      <w:r w:rsidRPr="440F262C">
        <w:t>Without the adjustment, the reliability of these regions would be understated and would</w:t>
      </w:r>
      <w:r w:rsidR="00384BD0" w:rsidRPr="440F262C">
        <w:t xml:space="preserve"> inappropriately</w:t>
      </w:r>
      <w:r w:rsidRPr="440F262C">
        <w:t xml:space="preserve"> underestimate the System’s access to external markets.</w:t>
      </w:r>
      <w:bookmarkStart w:id="61" w:name="_Toc440632545"/>
    </w:p>
    <w:p w14:paraId="669574D4" w14:textId="77777777" w:rsidR="008A4180" w:rsidRDefault="008A4180" w:rsidP="00F77FF1"/>
    <w:p w14:paraId="3FD0FD35" w14:textId="77777777" w:rsidR="008A4180" w:rsidRDefault="008A4180" w:rsidP="00F77FF1"/>
    <w:p w14:paraId="0588240A" w14:textId="77777777" w:rsidR="008A4180" w:rsidRDefault="008A4180" w:rsidP="00F77FF1"/>
    <w:p w14:paraId="2F190603" w14:textId="77777777" w:rsidR="008A4180" w:rsidRDefault="008A4180" w:rsidP="00F77FF1"/>
    <w:p w14:paraId="1FB1EF14" w14:textId="77777777" w:rsidR="008A4180" w:rsidRDefault="008A4180" w:rsidP="00F77FF1"/>
    <w:p w14:paraId="16E072F0" w14:textId="77777777" w:rsidR="008A4180" w:rsidRDefault="008A4180" w:rsidP="00F77FF1"/>
    <w:p w14:paraId="2AF2BC26" w14:textId="77777777" w:rsidR="008A4180" w:rsidRDefault="008A4180" w:rsidP="00F77FF1"/>
    <w:p w14:paraId="0718390E" w14:textId="77777777" w:rsidR="008A4180" w:rsidRDefault="008A4180" w:rsidP="00F77FF1"/>
    <w:p w14:paraId="397D3076" w14:textId="77777777" w:rsidR="008A4180" w:rsidRDefault="008A4180" w:rsidP="00F77FF1"/>
    <w:p w14:paraId="489F6CF4" w14:textId="77777777" w:rsidR="008A4180" w:rsidRDefault="008A4180" w:rsidP="00F77FF1"/>
    <w:p w14:paraId="7E7D1057" w14:textId="77777777" w:rsidR="008A4180" w:rsidRDefault="008A4180" w:rsidP="00F77FF1"/>
    <w:p w14:paraId="14869BEE" w14:textId="77777777" w:rsidR="008A4180" w:rsidRDefault="008A4180" w:rsidP="00F77FF1"/>
    <w:p w14:paraId="3D9095D7" w14:textId="438ACAE2" w:rsidR="0053151C" w:rsidRDefault="0053151C" w:rsidP="0053151C">
      <w:pPr>
        <w:pStyle w:val="Caption"/>
        <w:keepNext/>
      </w:pPr>
      <w:bookmarkStart w:id="62" w:name="_Ref513785495"/>
      <w:bookmarkStart w:id="63" w:name="_Toc513710528"/>
      <w:bookmarkStart w:id="64" w:name="_Toc187234636"/>
      <w:bookmarkEnd w:id="61"/>
      <w:r>
        <w:t xml:space="preserve">Table </w:t>
      </w:r>
      <w:r w:rsidR="00161C58">
        <w:fldChar w:fldCharType="begin"/>
      </w:r>
      <w:r w:rsidR="00161C58">
        <w:instrText xml:space="preserve"> STYLEREF 1 \s </w:instrText>
      </w:r>
      <w:r w:rsidR="00161C58">
        <w:fldChar w:fldCharType="separate"/>
      </w:r>
      <w:r w:rsidR="00161C58">
        <w:rPr>
          <w:noProof/>
        </w:rPr>
        <w:t>I</w:t>
      </w:r>
      <w:r w:rsidR="00161C58">
        <w:rPr>
          <w:noProof/>
        </w:rPr>
        <w:fldChar w:fldCharType="end"/>
      </w:r>
      <w:r w:rsidR="00922797">
        <w:noBreakHyphen/>
      </w:r>
      <w:r w:rsidR="00161C58">
        <w:fldChar w:fldCharType="begin"/>
      </w:r>
      <w:r w:rsidR="00161C58">
        <w:instrText xml:space="preserve"> SEQ Table \* ARABIC \s 1 </w:instrText>
      </w:r>
      <w:r w:rsidR="00161C58">
        <w:fldChar w:fldCharType="separate"/>
      </w:r>
      <w:r w:rsidR="00161C58">
        <w:rPr>
          <w:noProof/>
        </w:rPr>
        <w:t>1</w:t>
      </w:r>
      <w:r w:rsidR="00161C58">
        <w:rPr>
          <w:noProof/>
        </w:rPr>
        <w:fldChar w:fldCharType="end"/>
      </w:r>
      <w:bookmarkEnd w:id="62"/>
      <w:r>
        <w:t>. Simulation Regions Summary for Summer</w:t>
      </w:r>
      <w:bookmarkEnd w:id="63"/>
      <w:bookmarkEnd w:id="64"/>
    </w:p>
    <w:tbl>
      <w:tblPr>
        <w:tblW w:w="9355" w:type="dxa"/>
        <w:jc w:val="center"/>
        <w:tblLook w:val="04A0" w:firstRow="1" w:lastRow="0" w:firstColumn="1" w:lastColumn="0" w:noHBand="0" w:noVBand="1"/>
      </w:tblPr>
      <w:tblGrid>
        <w:gridCol w:w="1795"/>
        <w:gridCol w:w="1710"/>
        <w:gridCol w:w="1170"/>
        <w:gridCol w:w="2520"/>
        <w:gridCol w:w="2160"/>
      </w:tblGrid>
      <w:tr w:rsidR="006F0388" w:rsidRPr="006F0388" w14:paraId="3DE7419B" w14:textId="77777777" w:rsidTr="00FD55A8">
        <w:trPr>
          <w:trHeight w:val="900"/>
          <w:jc w:val="center"/>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67939C" w14:textId="77777777" w:rsidR="006F0388" w:rsidRPr="006F0388" w:rsidRDefault="006F0388" w:rsidP="006F0388">
            <w:pPr>
              <w:spacing w:line="240" w:lineRule="auto"/>
              <w:jc w:val="left"/>
              <w:rPr>
                <w:rFonts w:ascii="Calibri" w:hAnsi="Calibri" w:cs="Calibri"/>
                <w:b/>
                <w:bCs/>
                <w:color w:val="000000"/>
                <w:sz w:val="22"/>
                <w:szCs w:val="22"/>
              </w:rPr>
            </w:pPr>
            <w:r w:rsidRPr="006F0388">
              <w:rPr>
                <w:rFonts w:ascii="Calibri" w:hAnsi="Calibri" w:cs="Calibri"/>
                <w:b/>
                <w:bCs/>
                <w:color w:val="000000"/>
                <w:sz w:val="22"/>
                <w:szCs w:val="22"/>
              </w:rPr>
              <w:t>Region Name</w:t>
            </w:r>
          </w:p>
        </w:tc>
        <w:tc>
          <w:tcPr>
            <w:tcW w:w="1710" w:type="dxa"/>
            <w:tcBorders>
              <w:top w:val="single" w:sz="4" w:space="0" w:color="auto"/>
              <w:left w:val="nil"/>
              <w:bottom w:val="single" w:sz="4" w:space="0" w:color="auto"/>
              <w:right w:val="single" w:sz="4" w:space="0" w:color="auto"/>
            </w:tcBorders>
            <w:shd w:val="clear" w:color="auto" w:fill="auto"/>
            <w:vAlign w:val="bottom"/>
            <w:hideMark/>
          </w:tcPr>
          <w:p w14:paraId="0E96A9D5" w14:textId="77777777" w:rsidR="006F0388" w:rsidRPr="006F0388" w:rsidRDefault="006F0388" w:rsidP="006F0388">
            <w:pPr>
              <w:spacing w:line="240" w:lineRule="auto"/>
              <w:jc w:val="center"/>
              <w:rPr>
                <w:rFonts w:ascii="Calibri" w:hAnsi="Calibri" w:cs="Calibri"/>
                <w:b/>
                <w:bCs/>
                <w:color w:val="000000"/>
                <w:sz w:val="22"/>
                <w:szCs w:val="22"/>
              </w:rPr>
            </w:pPr>
            <w:r w:rsidRPr="006F0388">
              <w:rPr>
                <w:rFonts w:ascii="Calibri" w:hAnsi="Calibri" w:cs="Calibri"/>
                <w:b/>
                <w:bCs/>
                <w:color w:val="000000"/>
                <w:sz w:val="22"/>
                <w:szCs w:val="22"/>
              </w:rPr>
              <w:t>Summer Reserve Margin Modeled (%)</w:t>
            </w:r>
          </w:p>
        </w:tc>
        <w:tc>
          <w:tcPr>
            <w:tcW w:w="1170" w:type="dxa"/>
            <w:tcBorders>
              <w:top w:val="single" w:sz="4" w:space="0" w:color="auto"/>
              <w:left w:val="nil"/>
              <w:bottom w:val="single" w:sz="4" w:space="0" w:color="auto"/>
              <w:right w:val="single" w:sz="4" w:space="0" w:color="auto"/>
            </w:tcBorders>
            <w:shd w:val="clear" w:color="auto" w:fill="auto"/>
            <w:vAlign w:val="bottom"/>
            <w:hideMark/>
          </w:tcPr>
          <w:p w14:paraId="44FE01E8" w14:textId="77777777" w:rsidR="006F0388" w:rsidRPr="006F0388" w:rsidRDefault="006F0388" w:rsidP="006F0388">
            <w:pPr>
              <w:spacing w:line="240" w:lineRule="auto"/>
              <w:jc w:val="center"/>
              <w:rPr>
                <w:rFonts w:ascii="Calibri" w:hAnsi="Calibri" w:cs="Calibri"/>
                <w:b/>
                <w:bCs/>
                <w:color w:val="000000"/>
                <w:sz w:val="22"/>
                <w:szCs w:val="22"/>
              </w:rPr>
            </w:pPr>
            <w:r w:rsidRPr="006F0388">
              <w:rPr>
                <w:rFonts w:ascii="Calibri" w:hAnsi="Calibri" w:cs="Calibri"/>
                <w:b/>
                <w:bCs/>
                <w:color w:val="000000"/>
                <w:sz w:val="22"/>
                <w:szCs w:val="22"/>
              </w:rPr>
              <w:t>Peak Load (MW)</w:t>
            </w:r>
          </w:p>
        </w:tc>
        <w:tc>
          <w:tcPr>
            <w:tcW w:w="2520" w:type="dxa"/>
            <w:tcBorders>
              <w:top w:val="single" w:sz="4" w:space="0" w:color="auto"/>
              <w:left w:val="nil"/>
              <w:bottom w:val="single" w:sz="4" w:space="0" w:color="auto"/>
              <w:right w:val="single" w:sz="4" w:space="0" w:color="auto"/>
            </w:tcBorders>
            <w:shd w:val="clear" w:color="auto" w:fill="auto"/>
            <w:vAlign w:val="bottom"/>
            <w:hideMark/>
          </w:tcPr>
          <w:p w14:paraId="5F9BFD97" w14:textId="57618C01" w:rsidR="006F0388" w:rsidRPr="006F0388" w:rsidRDefault="006F0388" w:rsidP="006F0388">
            <w:pPr>
              <w:spacing w:line="240" w:lineRule="auto"/>
              <w:jc w:val="center"/>
              <w:rPr>
                <w:rFonts w:ascii="Calibri" w:hAnsi="Calibri" w:cs="Calibri"/>
                <w:b/>
                <w:bCs/>
                <w:color w:val="000000"/>
                <w:sz w:val="22"/>
                <w:szCs w:val="22"/>
              </w:rPr>
            </w:pPr>
            <w:r w:rsidRPr="006F0388">
              <w:rPr>
                <w:rFonts w:ascii="Calibri" w:hAnsi="Calibri" w:cs="Calibri"/>
                <w:b/>
                <w:bCs/>
                <w:color w:val="000000"/>
                <w:sz w:val="22"/>
                <w:szCs w:val="22"/>
              </w:rPr>
              <w:t>Average Transfer Capability into Southern Company System</w:t>
            </w:r>
            <w:r w:rsidR="009F5D2E">
              <w:rPr>
                <w:rFonts w:ascii="Calibri" w:hAnsi="Calibri" w:cs="Calibri"/>
                <w:b/>
                <w:bCs/>
                <w:color w:val="000000"/>
                <w:sz w:val="22"/>
                <w:szCs w:val="22"/>
              </w:rPr>
              <w:t xml:space="preserve"> </w:t>
            </w:r>
            <w:r w:rsidRPr="006F0388">
              <w:rPr>
                <w:rFonts w:ascii="Calibri" w:hAnsi="Calibri" w:cs="Calibri"/>
                <w:b/>
                <w:bCs/>
                <w:color w:val="000000"/>
                <w:sz w:val="22"/>
                <w:szCs w:val="22"/>
              </w:rPr>
              <w:t>(MW)</w:t>
            </w:r>
          </w:p>
        </w:tc>
        <w:tc>
          <w:tcPr>
            <w:tcW w:w="2160" w:type="dxa"/>
            <w:tcBorders>
              <w:top w:val="single" w:sz="4" w:space="0" w:color="auto"/>
              <w:left w:val="nil"/>
              <w:bottom w:val="single" w:sz="4" w:space="0" w:color="auto"/>
              <w:right w:val="single" w:sz="4" w:space="0" w:color="auto"/>
            </w:tcBorders>
            <w:shd w:val="clear" w:color="auto" w:fill="auto"/>
            <w:vAlign w:val="bottom"/>
            <w:hideMark/>
          </w:tcPr>
          <w:p w14:paraId="7E5C81AA" w14:textId="4DCB59F8" w:rsidR="006F0388" w:rsidRPr="006F0388" w:rsidRDefault="006F0388" w:rsidP="006F0388">
            <w:pPr>
              <w:spacing w:line="240" w:lineRule="auto"/>
              <w:jc w:val="center"/>
              <w:rPr>
                <w:rFonts w:ascii="Calibri" w:hAnsi="Calibri" w:cs="Calibri"/>
                <w:b/>
                <w:bCs/>
                <w:color w:val="000000"/>
                <w:sz w:val="22"/>
                <w:szCs w:val="22"/>
              </w:rPr>
            </w:pPr>
            <w:r w:rsidRPr="006F0388">
              <w:rPr>
                <w:rFonts w:ascii="Calibri" w:hAnsi="Calibri" w:cs="Calibri"/>
                <w:b/>
                <w:bCs/>
                <w:color w:val="000000"/>
                <w:sz w:val="22"/>
                <w:szCs w:val="22"/>
              </w:rPr>
              <w:t>CBM</w:t>
            </w:r>
            <w:r w:rsidR="0083570D">
              <w:rPr>
                <w:rStyle w:val="FootnoteReference"/>
                <w:rFonts w:ascii="Calibri" w:hAnsi="Calibri" w:cs="Calibri"/>
                <w:b/>
                <w:bCs/>
                <w:color w:val="000000"/>
                <w:sz w:val="22"/>
                <w:szCs w:val="22"/>
              </w:rPr>
              <w:footnoteReference w:id="9"/>
            </w:r>
            <w:r w:rsidRPr="006F0388">
              <w:rPr>
                <w:rFonts w:ascii="Calibri" w:hAnsi="Calibri" w:cs="Calibri"/>
                <w:b/>
                <w:bCs/>
                <w:color w:val="000000"/>
                <w:sz w:val="22"/>
                <w:szCs w:val="22"/>
              </w:rPr>
              <w:t xml:space="preserve"> into Southern Company System (MW)</w:t>
            </w:r>
          </w:p>
        </w:tc>
      </w:tr>
      <w:tr w:rsidR="00E471A6" w:rsidRPr="006F0388" w14:paraId="752BA077" w14:textId="77777777" w:rsidTr="00FD55A8">
        <w:trPr>
          <w:trHeight w:val="300"/>
          <w:jc w:val="center"/>
        </w:trPr>
        <w:tc>
          <w:tcPr>
            <w:tcW w:w="17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CCB20B" w14:textId="689E6AE7"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Duke</w:t>
            </w:r>
          </w:p>
        </w:tc>
        <w:tc>
          <w:tcPr>
            <w:tcW w:w="1710" w:type="dxa"/>
            <w:tcBorders>
              <w:top w:val="nil"/>
              <w:left w:val="nil"/>
              <w:bottom w:val="single" w:sz="4" w:space="0" w:color="auto"/>
              <w:right w:val="single" w:sz="4" w:space="0" w:color="auto"/>
            </w:tcBorders>
            <w:shd w:val="clear" w:color="auto" w:fill="auto"/>
            <w:noWrap/>
            <w:hideMark/>
          </w:tcPr>
          <w:p w14:paraId="26D74EED" w14:textId="3A0C7186"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24%</w:t>
            </w:r>
          </w:p>
        </w:tc>
        <w:tc>
          <w:tcPr>
            <w:tcW w:w="1170" w:type="dxa"/>
            <w:tcBorders>
              <w:top w:val="nil"/>
              <w:left w:val="nil"/>
              <w:bottom w:val="single" w:sz="4" w:space="0" w:color="auto"/>
              <w:right w:val="single" w:sz="4" w:space="0" w:color="auto"/>
            </w:tcBorders>
            <w:shd w:val="clear" w:color="auto" w:fill="auto"/>
            <w:noWrap/>
            <w:hideMark/>
          </w:tcPr>
          <w:p w14:paraId="2CFBA88D" w14:textId="6B0495D7"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18,837 </w:t>
            </w:r>
          </w:p>
        </w:tc>
        <w:tc>
          <w:tcPr>
            <w:tcW w:w="2520" w:type="dxa"/>
            <w:tcBorders>
              <w:top w:val="nil"/>
              <w:left w:val="nil"/>
              <w:bottom w:val="single" w:sz="4" w:space="0" w:color="auto"/>
              <w:right w:val="single" w:sz="4" w:space="0" w:color="auto"/>
            </w:tcBorders>
            <w:shd w:val="clear" w:color="auto" w:fill="auto"/>
            <w:noWrap/>
            <w:hideMark/>
          </w:tcPr>
          <w:p w14:paraId="4D7DE384" w14:textId="429B7274"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34</w:t>
            </w:r>
          </w:p>
        </w:tc>
        <w:tc>
          <w:tcPr>
            <w:tcW w:w="2160" w:type="dxa"/>
            <w:tcBorders>
              <w:top w:val="nil"/>
              <w:left w:val="nil"/>
              <w:bottom w:val="single" w:sz="4" w:space="0" w:color="auto"/>
              <w:right w:val="single" w:sz="4" w:space="0" w:color="auto"/>
            </w:tcBorders>
            <w:shd w:val="clear" w:color="auto" w:fill="auto"/>
            <w:noWrap/>
            <w:hideMark/>
          </w:tcPr>
          <w:p w14:paraId="718E24EE" w14:textId="0C43A118"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100</w:t>
            </w:r>
          </w:p>
        </w:tc>
      </w:tr>
      <w:tr w:rsidR="00E471A6" w:rsidRPr="006F0388" w14:paraId="734B1FF8"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tcPr>
          <w:p w14:paraId="25B7E58D" w14:textId="207813D6"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FPL</w:t>
            </w:r>
          </w:p>
        </w:tc>
        <w:tc>
          <w:tcPr>
            <w:tcW w:w="1710" w:type="dxa"/>
            <w:tcBorders>
              <w:top w:val="nil"/>
              <w:left w:val="nil"/>
              <w:bottom w:val="single" w:sz="4" w:space="0" w:color="auto"/>
              <w:right w:val="single" w:sz="4" w:space="0" w:color="auto"/>
            </w:tcBorders>
            <w:shd w:val="clear" w:color="auto" w:fill="auto"/>
            <w:noWrap/>
            <w:hideMark/>
          </w:tcPr>
          <w:p w14:paraId="1AEE107E" w14:textId="0CAB0D65"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31%</w:t>
            </w:r>
          </w:p>
        </w:tc>
        <w:tc>
          <w:tcPr>
            <w:tcW w:w="1170" w:type="dxa"/>
            <w:tcBorders>
              <w:top w:val="nil"/>
              <w:left w:val="nil"/>
              <w:bottom w:val="single" w:sz="4" w:space="0" w:color="auto"/>
              <w:right w:val="single" w:sz="4" w:space="0" w:color="auto"/>
            </w:tcBorders>
            <w:shd w:val="clear" w:color="auto" w:fill="auto"/>
            <w:noWrap/>
            <w:hideMark/>
          </w:tcPr>
          <w:p w14:paraId="39FB6314" w14:textId="0524C76D"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27,088 </w:t>
            </w:r>
          </w:p>
        </w:tc>
        <w:tc>
          <w:tcPr>
            <w:tcW w:w="2520" w:type="dxa"/>
            <w:tcBorders>
              <w:top w:val="nil"/>
              <w:left w:val="nil"/>
              <w:bottom w:val="single" w:sz="4" w:space="0" w:color="auto"/>
              <w:right w:val="single" w:sz="4" w:space="0" w:color="auto"/>
            </w:tcBorders>
            <w:shd w:val="clear" w:color="auto" w:fill="auto"/>
            <w:noWrap/>
            <w:hideMark/>
          </w:tcPr>
          <w:p w14:paraId="7C14BDAB" w14:textId="6BA3A6C1"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96</w:t>
            </w:r>
          </w:p>
        </w:tc>
        <w:tc>
          <w:tcPr>
            <w:tcW w:w="2160" w:type="dxa"/>
            <w:tcBorders>
              <w:top w:val="nil"/>
              <w:left w:val="nil"/>
              <w:bottom w:val="single" w:sz="4" w:space="0" w:color="auto"/>
              <w:right w:val="single" w:sz="4" w:space="0" w:color="auto"/>
            </w:tcBorders>
            <w:shd w:val="clear" w:color="auto" w:fill="auto"/>
            <w:noWrap/>
            <w:hideMark/>
          </w:tcPr>
          <w:p w14:paraId="42BD4D4B" w14:textId="61DA01FF"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250</w:t>
            </w:r>
          </w:p>
        </w:tc>
      </w:tr>
      <w:tr w:rsidR="00E471A6" w:rsidRPr="006F0388" w14:paraId="491849E0"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tcPr>
          <w:p w14:paraId="24165240" w14:textId="399DAC25"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FPLNW</w:t>
            </w:r>
          </w:p>
        </w:tc>
        <w:tc>
          <w:tcPr>
            <w:tcW w:w="1710" w:type="dxa"/>
            <w:tcBorders>
              <w:top w:val="nil"/>
              <w:left w:val="nil"/>
              <w:bottom w:val="single" w:sz="4" w:space="0" w:color="auto"/>
              <w:right w:val="single" w:sz="4" w:space="0" w:color="auto"/>
            </w:tcBorders>
            <w:shd w:val="clear" w:color="auto" w:fill="auto"/>
            <w:noWrap/>
            <w:hideMark/>
          </w:tcPr>
          <w:p w14:paraId="075E1D1F" w14:textId="1BF8A792"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28%</w:t>
            </w:r>
          </w:p>
        </w:tc>
        <w:tc>
          <w:tcPr>
            <w:tcW w:w="1170" w:type="dxa"/>
            <w:tcBorders>
              <w:top w:val="nil"/>
              <w:left w:val="nil"/>
              <w:bottom w:val="single" w:sz="4" w:space="0" w:color="auto"/>
              <w:right w:val="single" w:sz="4" w:space="0" w:color="auto"/>
            </w:tcBorders>
            <w:shd w:val="clear" w:color="auto" w:fill="auto"/>
            <w:noWrap/>
            <w:hideMark/>
          </w:tcPr>
          <w:p w14:paraId="408FE6C2" w14:textId="400B24A1"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2,389 </w:t>
            </w:r>
          </w:p>
        </w:tc>
        <w:tc>
          <w:tcPr>
            <w:tcW w:w="2520" w:type="dxa"/>
            <w:tcBorders>
              <w:top w:val="nil"/>
              <w:left w:val="nil"/>
              <w:bottom w:val="single" w:sz="4" w:space="0" w:color="auto"/>
              <w:right w:val="single" w:sz="4" w:space="0" w:color="auto"/>
            </w:tcBorders>
            <w:shd w:val="clear" w:color="auto" w:fill="auto"/>
            <w:noWrap/>
            <w:hideMark/>
          </w:tcPr>
          <w:p w14:paraId="6B9478AA" w14:textId="4FF240FA"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546</w:t>
            </w:r>
          </w:p>
        </w:tc>
        <w:tc>
          <w:tcPr>
            <w:tcW w:w="2160" w:type="dxa"/>
            <w:tcBorders>
              <w:top w:val="nil"/>
              <w:left w:val="nil"/>
              <w:bottom w:val="single" w:sz="4" w:space="0" w:color="auto"/>
              <w:right w:val="single" w:sz="4" w:space="0" w:color="auto"/>
            </w:tcBorders>
            <w:shd w:val="clear" w:color="auto" w:fill="auto"/>
            <w:noWrap/>
            <w:hideMark/>
          </w:tcPr>
          <w:p w14:paraId="39E609F2" w14:textId="5217DCB2"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1AD029B0"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tcPr>
          <w:p w14:paraId="43D702B9" w14:textId="70E1D224"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JEA</w:t>
            </w:r>
          </w:p>
        </w:tc>
        <w:tc>
          <w:tcPr>
            <w:tcW w:w="1710" w:type="dxa"/>
            <w:tcBorders>
              <w:top w:val="nil"/>
              <w:left w:val="nil"/>
              <w:bottom w:val="single" w:sz="4" w:space="0" w:color="auto"/>
              <w:right w:val="single" w:sz="4" w:space="0" w:color="auto"/>
            </w:tcBorders>
            <w:shd w:val="clear" w:color="auto" w:fill="auto"/>
            <w:noWrap/>
            <w:hideMark/>
          </w:tcPr>
          <w:p w14:paraId="2A903FB6" w14:textId="0E679AF1"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37%</w:t>
            </w:r>
          </w:p>
        </w:tc>
        <w:tc>
          <w:tcPr>
            <w:tcW w:w="1170" w:type="dxa"/>
            <w:tcBorders>
              <w:top w:val="nil"/>
              <w:left w:val="nil"/>
              <w:bottom w:val="single" w:sz="4" w:space="0" w:color="auto"/>
              <w:right w:val="single" w:sz="4" w:space="0" w:color="auto"/>
            </w:tcBorders>
            <w:shd w:val="clear" w:color="auto" w:fill="auto"/>
            <w:noWrap/>
            <w:hideMark/>
          </w:tcPr>
          <w:p w14:paraId="7AE8EE0C" w14:textId="6D2471DA"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2,767 </w:t>
            </w:r>
          </w:p>
        </w:tc>
        <w:tc>
          <w:tcPr>
            <w:tcW w:w="2520" w:type="dxa"/>
            <w:tcBorders>
              <w:top w:val="nil"/>
              <w:left w:val="nil"/>
              <w:bottom w:val="single" w:sz="4" w:space="0" w:color="auto"/>
              <w:right w:val="single" w:sz="4" w:space="0" w:color="auto"/>
            </w:tcBorders>
            <w:shd w:val="clear" w:color="auto" w:fill="auto"/>
            <w:noWrap/>
            <w:hideMark/>
          </w:tcPr>
          <w:p w14:paraId="550146C2" w14:textId="257EA816"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88</w:t>
            </w:r>
          </w:p>
        </w:tc>
        <w:tc>
          <w:tcPr>
            <w:tcW w:w="2160" w:type="dxa"/>
            <w:tcBorders>
              <w:top w:val="nil"/>
              <w:left w:val="nil"/>
              <w:bottom w:val="single" w:sz="4" w:space="0" w:color="auto"/>
              <w:right w:val="single" w:sz="4" w:space="0" w:color="auto"/>
            </w:tcBorders>
            <w:shd w:val="clear" w:color="auto" w:fill="auto"/>
            <w:noWrap/>
            <w:hideMark/>
          </w:tcPr>
          <w:p w14:paraId="2D0458D2" w14:textId="1CB7DBF2"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27711297"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tcPr>
          <w:p w14:paraId="3EDBFDA9" w14:textId="2247B2F4"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MEAG</w:t>
            </w:r>
          </w:p>
        </w:tc>
        <w:tc>
          <w:tcPr>
            <w:tcW w:w="1710" w:type="dxa"/>
            <w:tcBorders>
              <w:top w:val="nil"/>
              <w:left w:val="nil"/>
              <w:bottom w:val="single" w:sz="4" w:space="0" w:color="auto"/>
              <w:right w:val="single" w:sz="4" w:space="0" w:color="auto"/>
            </w:tcBorders>
            <w:shd w:val="clear" w:color="auto" w:fill="auto"/>
            <w:noWrap/>
            <w:hideMark/>
          </w:tcPr>
          <w:p w14:paraId="189F0321" w14:textId="7142BD59"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32%</w:t>
            </w:r>
          </w:p>
        </w:tc>
        <w:tc>
          <w:tcPr>
            <w:tcW w:w="1170" w:type="dxa"/>
            <w:tcBorders>
              <w:top w:val="nil"/>
              <w:left w:val="nil"/>
              <w:bottom w:val="single" w:sz="4" w:space="0" w:color="auto"/>
              <w:right w:val="single" w:sz="4" w:space="0" w:color="auto"/>
            </w:tcBorders>
            <w:shd w:val="clear" w:color="auto" w:fill="auto"/>
            <w:noWrap/>
            <w:hideMark/>
          </w:tcPr>
          <w:p w14:paraId="2747CE73" w14:textId="0FB13BC3"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2,447 </w:t>
            </w:r>
          </w:p>
        </w:tc>
        <w:tc>
          <w:tcPr>
            <w:tcW w:w="2520" w:type="dxa"/>
            <w:tcBorders>
              <w:top w:val="nil"/>
              <w:left w:val="nil"/>
              <w:bottom w:val="single" w:sz="4" w:space="0" w:color="auto"/>
              <w:right w:val="single" w:sz="4" w:space="0" w:color="auto"/>
            </w:tcBorders>
            <w:shd w:val="clear" w:color="auto" w:fill="auto"/>
            <w:noWrap/>
            <w:hideMark/>
          </w:tcPr>
          <w:p w14:paraId="08C7D3DE" w14:textId="63739430"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Unlimited</w:t>
            </w:r>
          </w:p>
        </w:tc>
        <w:tc>
          <w:tcPr>
            <w:tcW w:w="2160" w:type="dxa"/>
            <w:tcBorders>
              <w:top w:val="nil"/>
              <w:left w:val="nil"/>
              <w:bottom w:val="single" w:sz="4" w:space="0" w:color="auto"/>
              <w:right w:val="single" w:sz="4" w:space="0" w:color="auto"/>
            </w:tcBorders>
            <w:shd w:val="clear" w:color="auto" w:fill="auto"/>
            <w:noWrap/>
            <w:hideMark/>
          </w:tcPr>
          <w:p w14:paraId="7517A710" w14:textId="4579D51F"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0378B4E2"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tcPr>
          <w:p w14:paraId="37E2F569" w14:textId="33A9087E"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MISO-South</w:t>
            </w:r>
          </w:p>
        </w:tc>
        <w:tc>
          <w:tcPr>
            <w:tcW w:w="1710" w:type="dxa"/>
            <w:tcBorders>
              <w:top w:val="nil"/>
              <w:left w:val="nil"/>
              <w:bottom w:val="single" w:sz="4" w:space="0" w:color="auto"/>
              <w:right w:val="single" w:sz="4" w:space="0" w:color="auto"/>
            </w:tcBorders>
            <w:shd w:val="clear" w:color="auto" w:fill="auto"/>
            <w:noWrap/>
            <w:hideMark/>
          </w:tcPr>
          <w:p w14:paraId="18ED8CB9" w14:textId="7526207B"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39%</w:t>
            </w:r>
          </w:p>
        </w:tc>
        <w:tc>
          <w:tcPr>
            <w:tcW w:w="1170" w:type="dxa"/>
            <w:tcBorders>
              <w:top w:val="nil"/>
              <w:left w:val="nil"/>
              <w:bottom w:val="single" w:sz="4" w:space="0" w:color="auto"/>
              <w:right w:val="single" w:sz="4" w:space="0" w:color="auto"/>
            </w:tcBorders>
            <w:shd w:val="clear" w:color="auto" w:fill="auto"/>
            <w:noWrap/>
            <w:hideMark/>
          </w:tcPr>
          <w:p w14:paraId="6C3C44EF" w14:textId="21969F8A"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33,858 </w:t>
            </w:r>
          </w:p>
        </w:tc>
        <w:tc>
          <w:tcPr>
            <w:tcW w:w="2520" w:type="dxa"/>
            <w:tcBorders>
              <w:top w:val="nil"/>
              <w:left w:val="nil"/>
              <w:bottom w:val="single" w:sz="4" w:space="0" w:color="auto"/>
              <w:right w:val="single" w:sz="4" w:space="0" w:color="auto"/>
            </w:tcBorders>
            <w:shd w:val="clear" w:color="auto" w:fill="auto"/>
            <w:noWrap/>
            <w:hideMark/>
          </w:tcPr>
          <w:p w14:paraId="5F2D79B6" w14:textId="76B6F776"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1</w:t>
            </w:r>
            <w:r w:rsidR="00457EBA">
              <w:rPr>
                <w:rFonts w:ascii="Calibri" w:hAnsi="Calibri" w:cs="Calibri"/>
                <w:sz w:val="22"/>
                <w:szCs w:val="22"/>
              </w:rPr>
              <w:t>,</w:t>
            </w:r>
            <w:r w:rsidRPr="00E471A6">
              <w:rPr>
                <w:rFonts w:ascii="Calibri" w:hAnsi="Calibri" w:cs="Calibri"/>
                <w:sz w:val="22"/>
                <w:szCs w:val="22"/>
              </w:rPr>
              <w:t>791</w:t>
            </w:r>
          </w:p>
        </w:tc>
        <w:tc>
          <w:tcPr>
            <w:tcW w:w="2160" w:type="dxa"/>
            <w:tcBorders>
              <w:top w:val="nil"/>
              <w:left w:val="nil"/>
              <w:bottom w:val="single" w:sz="4" w:space="0" w:color="auto"/>
              <w:right w:val="single" w:sz="4" w:space="0" w:color="auto"/>
            </w:tcBorders>
            <w:shd w:val="clear" w:color="auto" w:fill="auto"/>
            <w:noWrap/>
            <w:hideMark/>
          </w:tcPr>
          <w:p w14:paraId="6EA322BE" w14:textId="58ADE55B"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300</w:t>
            </w:r>
          </w:p>
        </w:tc>
      </w:tr>
      <w:tr w:rsidR="00E471A6" w:rsidRPr="006F0388" w14:paraId="7C59502A"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tcPr>
          <w:p w14:paraId="48BFFE45" w14:textId="76B7990B"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OPC</w:t>
            </w:r>
          </w:p>
        </w:tc>
        <w:tc>
          <w:tcPr>
            <w:tcW w:w="1710" w:type="dxa"/>
            <w:tcBorders>
              <w:top w:val="nil"/>
              <w:left w:val="nil"/>
              <w:bottom w:val="single" w:sz="4" w:space="0" w:color="auto"/>
              <w:right w:val="single" w:sz="4" w:space="0" w:color="auto"/>
            </w:tcBorders>
            <w:shd w:val="clear" w:color="auto" w:fill="auto"/>
            <w:noWrap/>
            <w:hideMark/>
          </w:tcPr>
          <w:p w14:paraId="088A7170" w14:textId="424B65A5"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21%</w:t>
            </w:r>
          </w:p>
        </w:tc>
        <w:tc>
          <w:tcPr>
            <w:tcW w:w="1170" w:type="dxa"/>
            <w:tcBorders>
              <w:top w:val="nil"/>
              <w:left w:val="nil"/>
              <w:bottom w:val="single" w:sz="4" w:space="0" w:color="auto"/>
              <w:right w:val="single" w:sz="4" w:space="0" w:color="auto"/>
            </w:tcBorders>
            <w:shd w:val="clear" w:color="auto" w:fill="auto"/>
            <w:noWrap/>
            <w:hideMark/>
          </w:tcPr>
          <w:p w14:paraId="422E9D65" w14:textId="1ED38DE8"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11,115 </w:t>
            </w:r>
          </w:p>
        </w:tc>
        <w:tc>
          <w:tcPr>
            <w:tcW w:w="2520" w:type="dxa"/>
            <w:tcBorders>
              <w:top w:val="nil"/>
              <w:left w:val="nil"/>
              <w:bottom w:val="single" w:sz="4" w:space="0" w:color="auto"/>
              <w:right w:val="single" w:sz="4" w:space="0" w:color="auto"/>
            </w:tcBorders>
            <w:shd w:val="clear" w:color="auto" w:fill="auto"/>
            <w:noWrap/>
            <w:hideMark/>
          </w:tcPr>
          <w:p w14:paraId="1158FF04" w14:textId="1F419D43"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Unlimited</w:t>
            </w:r>
          </w:p>
        </w:tc>
        <w:tc>
          <w:tcPr>
            <w:tcW w:w="2160" w:type="dxa"/>
            <w:tcBorders>
              <w:top w:val="nil"/>
              <w:left w:val="nil"/>
              <w:bottom w:val="single" w:sz="4" w:space="0" w:color="auto"/>
              <w:right w:val="single" w:sz="4" w:space="0" w:color="auto"/>
            </w:tcBorders>
            <w:shd w:val="clear" w:color="auto" w:fill="auto"/>
            <w:noWrap/>
            <w:hideMark/>
          </w:tcPr>
          <w:p w14:paraId="1E3BEF55" w14:textId="70C4B347"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170B9DC9"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tcPr>
          <w:p w14:paraId="0965559F" w14:textId="7C7741F0"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Progress Carolinas</w:t>
            </w:r>
          </w:p>
        </w:tc>
        <w:tc>
          <w:tcPr>
            <w:tcW w:w="1710" w:type="dxa"/>
            <w:tcBorders>
              <w:top w:val="nil"/>
              <w:left w:val="nil"/>
              <w:bottom w:val="single" w:sz="4" w:space="0" w:color="auto"/>
              <w:right w:val="single" w:sz="4" w:space="0" w:color="auto"/>
            </w:tcBorders>
            <w:shd w:val="clear" w:color="auto" w:fill="auto"/>
            <w:noWrap/>
            <w:hideMark/>
          </w:tcPr>
          <w:p w14:paraId="0F9259B4" w14:textId="4109530C"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37%</w:t>
            </w:r>
          </w:p>
        </w:tc>
        <w:tc>
          <w:tcPr>
            <w:tcW w:w="1170" w:type="dxa"/>
            <w:tcBorders>
              <w:top w:val="nil"/>
              <w:left w:val="nil"/>
              <w:bottom w:val="single" w:sz="4" w:space="0" w:color="auto"/>
              <w:right w:val="single" w:sz="4" w:space="0" w:color="auto"/>
            </w:tcBorders>
            <w:shd w:val="clear" w:color="auto" w:fill="auto"/>
            <w:noWrap/>
            <w:hideMark/>
          </w:tcPr>
          <w:p w14:paraId="7C8816EB" w14:textId="7AA41AB5"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13,549 </w:t>
            </w:r>
          </w:p>
        </w:tc>
        <w:tc>
          <w:tcPr>
            <w:tcW w:w="2520" w:type="dxa"/>
            <w:tcBorders>
              <w:top w:val="nil"/>
              <w:left w:val="nil"/>
              <w:bottom w:val="single" w:sz="4" w:space="0" w:color="auto"/>
              <w:right w:val="single" w:sz="4" w:space="0" w:color="auto"/>
            </w:tcBorders>
            <w:shd w:val="clear" w:color="auto" w:fill="auto"/>
            <w:noWrap/>
            <w:hideMark/>
          </w:tcPr>
          <w:p w14:paraId="0BE42EFC" w14:textId="42D1338D"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c>
          <w:tcPr>
            <w:tcW w:w="2160" w:type="dxa"/>
            <w:tcBorders>
              <w:top w:val="nil"/>
              <w:left w:val="nil"/>
              <w:bottom w:val="single" w:sz="4" w:space="0" w:color="auto"/>
              <w:right w:val="single" w:sz="4" w:space="0" w:color="auto"/>
            </w:tcBorders>
            <w:shd w:val="clear" w:color="auto" w:fill="auto"/>
            <w:noWrap/>
            <w:hideMark/>
          </w:tcPr>
          <w:p w14:paraId="4BEB2588" w14:textId="766F1E8B"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4E002C96"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tcPr>
          <w:p w14:paraId="33B0F785" w14:textId="062999A3"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Progress FL</w:t>
            </w:r>
          </w:p>
        </w:tc>
        <w:tc>
          <w:tcPr>
            <w:tcW w:w="1710" w:type="dxa"/>
            <w:tcBorders>
              <w:top w:val="nil"/>
              <w:left w:val="nil"/>
              <w:bottom w:val="single" w:sz="4" w:space="0" w:color="auto"/>
              <w:right w:val="single" w:sz="4" w:space="0" w:color="auto"/>
            </w:tcBorders>
            <w:shd w:val="clear" w:color="auto" w:fill="auto"/>
            <w:noWrap/>
            <w:hideMark/>
          </w:tcPr>
          <w:p w14:paraId="27147871" w14:textId="63628161"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29%</w:t>
            </w:r>
          </w:p>
        </w:tc>
        <w:tc>
          <w:tcPr>
            <w:tcW w:w="1170" w:type="dxa"/>
            <w:tcBorders>
              <w:top w:val="nil"/>
              <w:left w:val="nil"/>
              <w:bottom w:val="single" w:sz="4" w:space="0" w:color="auto"/>
              <w:right w:val="single" w:sz="4" w:space="0" w:color="auto"/>
            </w:tcBorders>
            <w:shd w:val="clear" w:color="auto" w:fill="auto"/>
            <w:noWrap/>
            <w:hideMark/>
          </w:tcPr>
          <w:p w14:paraId="575D59B2" w14:textId="0529725D"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10,971 </w:t>
            </w:r>
          </w:p>
        </w:tc>
        <w:tc>
          <w:tcPr>
            <w:tcW w:w="2520" w:type="dxa"/>
            <w:tcBorders>
              <w:top w:val="nil"/>
              <w:left w:val="nil"/>
              <w:bottom w:val="single" w:sz="4" w:space="0" w:color="auto"/>
              <w:right w:val="single" w:sz="4" w:space="0" w:color="auto"/>
            </w:tcBorders>
            <w:shd w:val="clear" w:color="auto" w:fill="auto"/>
            <w:noWrap/>
            <w:hideMark/>
          </w:tcPr>
          <w:p w14:paraId="3346E8EB" w14:textId="1DA4A9C3"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31</w:t>
            </w:r>
          </w:p>
        </w:tc>
        <w:tc>
          <w:tcPr>
            <w:tcW w:w="2160" w:type="dxa"/>
            <w:tcBorders>
              <w:top w:val="nil"/>
              <w:left w:val="nil"/>
              <w:bottom w:val="single" w:sz="4" w:space="0" w:color="auto"/>
              <w:right w:val="single" w:sz="4" w:space="0" w:color="auto"/>
            </w:tcBorders>
            <w:shd w:val="clear" w:color="auto" w:fill="auto"/>
            <w:noWrap/>
            <w:hideMark/>
          </w:tcPr>
          <w:p w14:paraId="42623E63" w14:textId="241B178D"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753BB682"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tcPr>
          <w:p w14:paraId="77BB6169" w14:textId="04F7C907"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Santee Cooper</w:t>
            </w:r>
          </w:p>
        </w:tc>
        <w:tc>
          <w:tcPr>
            <w:tcW w:w="1710" w:type="dxa"/>
            <w:tcBorders>
              <w:top w:val="nil"/>
              <w:left w:val="nil"/>
              <w:bottom w:val="single" w:sz="4" w:space="0" w:color="auto"/>
              <w:right w:val="single" w:sz="4" w:space="0" w:color="auto"/>
            </w:tcBorders>
            <w:shd w:val="clear" w:color="auto" w:fill="auto"/>
            <w:noWrap/>
            <w:hideMark/>
          </w:tcPr>
          <w:p w14:paraId="6A950110" w14:textId="01E12CE5"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18%</w:t>
            </w:r>
          </w:p>
        </w:tc>
        <w:tc>
          <w:tcPr>
            <w:tcW w:w="1170" w:type="dxa"/>
            <w:tcBorders>
              <w:top w:val="nil"/>
              <w:left w:val="nil"/>
              <w:bottom w:val="single" w:sz="4" w:space="0" w:color="auto"/>
              <w:right w:val="single" w:sz="4" w:space="0" w:color="auto"/>
            </w:tcBorders>
            <w:shd w:val="clear" w:color="auto" w:fill="auto"/>
            <w:noWrap/>
            <w:hideMark/>
          </w:tcPr>
          <w:p w14:paraId="7156AFD5" w14:textId="0395B538"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5,082 </w:t>
            </w:r>
          </w:p>
        </w:tc>
        <w:tc>
          <w:tcPr>
            <w:tcW w:w="2520" w:type="dxa"/>
            <w:tcBorders>
              <w:top w:val="nil"/>
              <w:left w:val="nil"/>
              <w:bottom w:val="single" w:sz="4" w:space="0" w:color="auto"/>
              <w:right w:val="single" w:sz="4" w:space="0" w:color="auto"/>
            </w:tcBorders>
            <w:shd w:val="clear" w:color="auto" w:fill="auto"/>
            <w:noWrap/>
            <w:hideMark/>
          </w:tcPr>
          <w:p w14:paraId="25A4633C" w14:textId="748B8C0C"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280</w:t>
            </w:r>
          </w:p>
        </w:tc>
        <w:tc>
          <w:tcPr>
            <w:tcW w:w="2160" w:type="dxa"/>
            <w:tcBorders>
              <w:top w:val="nil"/>
              <w:left w:val="nil"/>
              <w:bottom w:val="single" w:sz="4" w:space="0" w:color="auto"/>
              <w:right w:val="single" w:sz="4" w:space="0" w:color="auto"/>
            </w:tcBorders>
            <w:shd w:val="clear" w:color="auto" w:fill="auto"/>
            <w:noWrap/>
            <w:hideMark/>
          </w:tcPr>
          <w:p w14:paraId="2E7FBB28" w14:textId="1A1417F7"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5265A524"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tcPr>
          <w:p w14:paraId="0ED59649" w14:textId="30E7B79C"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SCEG</w:t>
            </w:r>
          </w:p>
        </w:tc>
        <w:tc>
          <w:tcPr>
            <w:tcW w:w="1710" w:type="dxa"/>
            <w:tcBorders>
              <w:top w:val="nil"/>
              <w:left w:val="nil"/>
              <w:bottom w:val="single" w:sz="4" w:space="0" w:color="auto"/>
              <w:right w:val="single" w:sz="4" w:space="0" w:color="auto"/>
            </w:tcBorders>
            <w:shd w:val="clear" w:color="auto" w:fill="auto"/>
            <w:noWrap/>
            <w:hideMark/>
          </w:tcPr>
          <w:p w14:paraId="32F32824" w14:textId="54E9EE9B"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49%</w:t>
            </w:r>
          </w:p>
        </w:tc>
        <w:tc>
          <w:tcPr>
            <w:tcW w:w="1170" w:type="dxa"/>
            <w:tcBorders>
              <w:top w:val="nil"/>
              <w:left w:val="nil"/>
              <w:bottom w:val="single" w:sz="4" w:space="0" w:color="auto"/>
              <w:right w:val="single" w:sz="4" w:space="0" w:color="auto"/>
            </w:tcBorders>
            <w:shd w:val="clear" w:color="auto" w:fill="auto"/>
            <w:noWrap/>
            <w:hideMark/>
          </w:tcPr>
          <w:p w14:paraId="3557BAB4" w14:textId="46BDEC00"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4,966 </w:t>
            </w:r>
          </w:p>
        </w:tc>
        <w:tc>
          <w:tcPr>
            <w:tcW w:w="2520" w:type="dxa"/>
            <w:tcBorders>
              <w:top w:val="nil"/>
              <w:left w:val="nil"/>
              <w:bottom w:val="single" w:sz="4" w:space="0" w:color="auto"/>
              <w:right w:val="single" w:sz="4" w:space="0" w:color="auto"/>
            </w:tcBorders>
            <w:shd w:val="clear" w:color="auto" w:fill="auto"/>
            <w:noWrap/>
            <w:hideMark/>
          </w:tcPr>
          <w:p w14:paraId="01A26C21" w14:textId="2C68564A"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59</w:t>
            </w:r>
          </w:p>
        </w:tc>
        <w:tc>
          <w:tcPr>
            <w:tcW w:w="2160" w:type="dxa"/>
            <w:tcBorders>
              <w:top w:val="nil"/>
              <w:left w:val="nil"/>
              <w:bottom w:val="single" w:sz="4" w:space="0" w:color="auto"/>
              <w:right w:val="single" w:sz="4" w:space="0" w:color="auto"/>
            </w:tcBorders>
            <w:shd w:val="clear" w:color="auto" w:fill="auto"/>
            <w:noWrap/>
            <w:hideMark/>
          </w:tcPr>
          <w:p w14:paraId="4F1ACE35" w14:textId="0D4F1EA1"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45E03282"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tcPr>
          <w:p w14:paraId="207D2BE0" w14:textId="447B99A3"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TAL</w:t>
            </w:r>
          </w:p>
        </w:tc>
        <w:tc>
          <w:tcPr>
            <w:tcW w:w="1710" w:type="dxa"/>
            <w:tcBorders>
              <w:top w:val="nil"/>
              <w:left w:val="nil"/>
              <w:bottom w:val="single" w:sz="4" w:space="0" w:color="auto"/>
              <w:right w:val="single" w:sz="4" w:space="0" w:color="auto"/>
            </w:tcBorders>
            <w:shd w:val="clear" w:color="auto" w:fill="auto"/>
            <w:noWrap/>
            <w:hideMark/>
          </w:tcPr>
          <w:p w14:paraId="7D08E306" w14:textId="2B689E94"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41%</w:t>
            </w:r>
          </w:p>
        </w:tc>
        <w:tc>
          <w:tcPr>
            <w:tcW w:w="1170" w:type="dxa"/>
            <w:tcBorders>
              <w:top w:val="nil"/>
              <w:left w:val="nil"/>
              <w:bottom w:val="single" w:sz="4" w:space="0" w:color="auto"/>
              <w:right w:val="single" w:sz="4" w:space="0" w:color="auto"/>
            </w:tcBorders>
            <w:shd w:val="clear" w:color="auto" w:fill="auto"/>
            <w:noWrap/>
            <w:hideMark/>
          </w:tcPr>
          <w:p w14:paraId="58FA554A" w14:textId="5C3BF5CB"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631 </w:t>
            </w:r>
          </w:p>
        </w:tc>
        <w:tc>
          <w:tcPr>
            <w:tcW w:w="2520" w:type="dxa"/>
            <w:tcBorders>
              <w:top w:val="nil"/>
              <w:left w:val="nil"/>
              <w:bottom w:val="single" w:sz="4" w:space="0" w:color="auto"/>
              <w:right w:val="single" w:sz="4" w:space="0" w:color="auto"/>
            </w:tcBorders>
            <w:shd w:val="clear" w:color="auto" w:fill="auto"/>
            <w:noWrap/>
            <w:hideMark/>
          </w:tcPr>
          <w:p w14:paraId="16A6D852" w14:textId="5FC8BD44"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12</w:t>
            </w:r>
          </w:p>
        </w:tc>
        <w:tc>
          <w:tcPr>
            <w:tcW w:w="2160" w:type="dxa"/>
            <w:tcBorders>
              <w:top w:val="nil"/>
              <w:left w:val="nil"/>
              <w:bottom w:val="single" w:sz="4" w:space="0" w:color="auto"/>
              <w:right w:val="single" w:sz="4" w:space="0" w:color="auto"/>
            </w:tcBorders>
            <w:shd w:val="clear" w:color="auto" w:fill="auto"/>
            <w:noWrap/>
            <w:hideMark/>
          </w:tcPr>
          <w:p w14:paraId="19C56C80" w14:textId="4C635EAA"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7AB593C2"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tcPr>
          <w:p w14:paraId="44FE6E0F" w14:textId="54C1E45F"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TVA</w:t>
            </w:r>
          </w:p>
        </w:tc>
        <w:tc>
          <w:tcPr>
            <w:tcW w:w="1710" w:type="dxa"/>
            <w:tcBorders>
              <w:top w:val="nil"/>
              <w:left w:val="nil"/>
              <w:bottom w:val="single" w:sz="4" w:space="0" w:color="auto"/>
              <w:right w:val="single" w:sz="4" w:space="0" w:color="auto"/>
            </w:tcBorders>
            <w:shd w:val="clear" w:color="auto" w:fill="auto"/>
            <w:noWrap/>
            <w:hideMark/>
          </w:tcPr>
          <w:p w14:paraId="6FD0FE34" w14:textId="243F2C8E"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17%</w:t>
            </w:r>
          </w:p>
        </w:tc>
        <w:tc>
          <w:tcPr>
            <w:tcW w:w="1170" w:type="dxa"/>
            <w:tcBorders>
              <w:top w:val="nil"/>
              <w:left w:val="nil"/>
              <w:bottom w:val="single" w:sz="4" w:space="0" w:color="auto"/>
              <w:right w:val="single" w:sz="4" w:space="0" w:color="auto"/>
            </w:tcBorders>
            <w:shd w:val="clear" w:color="auto" w:fill="auto"/>
            <w:noWrap/>
            <w:hideMark/>
          </w:tcPr>
          <w:p w14:paraId="3FB4F90B" w14:textId="6ECD51D6"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32,332 </w:t>
            </w:r>
          </w:p>
        </w:tc>
        <w:tc>
          <w:tcPr>
            <w:tcW w:w="2520" w:type="dxa"/>
            <w:tcBorders>
              <w:top w:val="nil"/>
              <w:left w:val="nil"/>
              <w:bottom w:val="single" w:sz="4" w:space="0" w:color="auto"/>
              <w:right w:val="single" w:sz="4" w:space="0" w:color="auto"/>
            </w:tcBorders>
            <w:shd w:val="clear" w:color="auto" w:fill="auto"/>
            <w:noWrap/>
            <w:hideMark/>
          </w:tcPr>
          <w:p w14:paraId="1CC2E10E" w14:textId="2AF02014"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480</w:t>
            </w:r>
          </w:p>
        </w:tc>
        <w:tc>
          <w:tcPr>
            <w:tcW w:w="2160" w:type="dxa"/>
            <w:tcBorders>
              <w:top w:val="nil"/>
              <w:left w:val="nil"/>
              <w:bottom w:val="single" w:sz="4" w:space="0" w:color="auto"/>
              <w:right w:val="single" w:sz="4" w:space="0" w:color="auto"/>
            </w:tcBorders>
            <w:shd w:val="clear" w:color="auto" w:fill="auto"/>
            <w:noWrap/>
            <w:hideMark/>
          </w:tcPr>
          <w:p w14:paraId="7B40A98E" w14:textId="25889122"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250</w:t>
            </w:r>
          </w:p>
        </w:tc>
      </w:tr>
    </w:tbl>
    <w:p w14:paraId="573A9EAE" w14:textId="77777777" w:rsidR="008A4180" w:rsidRDefault="008A4180" w:rsidP="0053151C">
      <w:pPr>
        <w:pStyle w:val="Caption"/>
        <w:keepNext/>
      </w:pPr>
      <w:bookmarkStart w:id="65" w:name="_Ref513785504"/>
      <w:bookmarkStart w:id="66" w:name="_Toc513710529"/>
    </w:p>
    <w:p w14:paraId="214CCAAE" w14:textId="77777777" w:rsidR="008A4180" w:rsidRDefault="008A4180" w:rsidP="008A4180">
      <w:pPr>
        <w:spacing w:line="240" w:lineRule="auto"/>
      </w:pPr>
    </w:p>
    <w:p w14:paraId="231E51D0" w14:textId="77777777" w:rsidR="008A4180" w:rsidRDefault="008A4180" w:rsidP="008A4180">
      <w:pPr>
        <w:spacing w:line="240" w:lineRule="auto"/>
      </w:pPr>
    </w:p>
    <w:p w14:paraId="11A2C02B" w14:textId="77777777" w:rsidR="008A4180" w:rsidRDefault="008A4180" w:rsidP="008A4180">
      <w:pPr>
        <w:spacing w:line="240" w:lineRule="auto"/>
      </w:pPr>
    </w:p>
    <w:p w14:paraId="00C21FA1" w14:textId="77777777" w:rsidR="008A4180" w:rsidRDefault="008A4180" w:rsidP="008A4180">
      <w:pPr>
        <w:spacing w:line="240" w:lineRule="auto"/>
      </w:pPr>
    </w:p>
    <w:p w14:paraId="02E3EF52" w14:textId="77777777" w:rsidR="008A4180" w:rsidRDefault="008A4180" w:rsidP="008A4180">
      <w:pPr>
        <w:spacing w:line="240" w:lineRule="auto"/>
      </w:pPr>
    </w:p>
    <w:p w14:paraId="20DE961A" w14:textId="77777777" w:rsidR="008A4180" w:rsidRDefault="008A4180" w:rsidP="008A4180">
      <w:pPr>
        <w:spacing w:line="240" w:lineRule="auto"/>
      </w:pPr>
    </w:p>
    <w:p w14:paraId="21F583DA" w14:textId="77777777" w:rsidR="00603690" w:rsidRDefault="00603690" w:rsidP="008A4180">
      <w:pPr>
        <w:spacing w:line="240" w:lineRule="auto"/>
      </w:pPr>
    </w:p>
    <w:p w14:paraId="64579C5F" w14:textId="77777777" w:rsidR="00603690" w:rsidRDefault="00603690" w:rsidP="008A4180">
      <w:pPr>
        <w:spacing w:line="240" w:lineRule="auto"/>
      </w:pPr>
    </w:p>
    <w:p w14:paraId="570AA742" w14:textId="77777777" w:rsidR="00603690" w:rsidRDefault="00603690" w:rsidP="008A4180">
      <w:pPr>
        <w:spacing w:line="240" w:lineRule="auto"/>
      </w:pPr>
    </w:p>
    <w:p w14:paraId="13B0EBE2" w14:textId="77777777" w:rsidR="008A4180" w:rsidRDefault="008A4180" w:rsidP="008A4180">
      <w:pPr>
        <w:spacing w:line="240" w:lineRule="auto"/>
      </w:pPr>
    </w:p>
    <w:p w14:paraId="128C67F7" w14:textId="77777777" w:rsidR="008A4180" w:rsidRPr="008A4180" w:rsidRDefault="008A4180" w:rsidP="008A4180">
      <w:pPr>
        <w:spacing w:line="240" w:lineRule="auto"/>
      </w:pPr>
    </w:p>
    <w:p w14:paraId="198E3770" w14:textId="77777777" w:rsidR="008A4180" w:rsidRDefault="008A4180" w:rsidP="008A4180">
      <w:pPr>
        <w:pStyle w:val="Caption"/>
        <w:keepNext/>
        <w:spacing w:line="240" w:lineRule="auto"/>
      </w:pPr>
    </w:p>
    <w:p w14:paraId="6BA12B31" w14:textId="77777777" w:rsidR="008A4180" w:rsidRPr="008A4180" w:rsidRDefault="008A4180" w:rsidP="008A4180">
      <w:pPr>
        <w:spacing w:line="240" w:lineRule="auto"/>
      </w:pPr>
    </w:p>
    <w:p w14:paraId="568F355E" w14:textId="6A780615" w:rsidR="0053151C" w:rsidRDefault="0053151C" w:rsidP="0053151C">
      <w:pPr>
        <w:pStyle w:val="Caption"/>
        <w:keepNext/>
      </w:pPr>
      <w:bookmarkStart w:id="67" w:name="_Toc187234637"/>
      <w:r>
        <w:t xml:space="preserve">Table </w:t>
      </w:r>
      <w:r w:rsidR="00161C58">
        <w:fldChar w:fldCharType="begin"/>
      </w:r>
      <w:r w:rsidR="00161C58">
        <w:instrText xml:space="preserve"> STYLEREF 1 \s </w:instrText>
      </w:r>
      <w:r w:rsidR="00161C58">
        <w:fldChar w:fldCharType="separate"/>
      </w:r>
      <w:r w:rsidR="00161C58">
        <w:rPr>
          <w:noProof/>
        </w:rPr>
        <w:t>I</w:t>
      </w:r>
      <w:r w:rsidR="00161C58">
        <w:rPr>
          <w:noProof/>
        </w:rPr>
        <w:fldChar w:fldCharType="end"/>
      </w:r>
      <w:r w:rsidR="00922797">
        <w:noBreakHyphen/>
      </w:r>
      <w:r w:rsidR="00161C58">
        <w:fldChar w:fldCharType="begin"/>
      </w:r>
      <w:r w:rsidR="00161C58">
        <w:instrText xml:space="preserve"> SEQ Table \* ARABIC \s 1 </w:instrText>
      </w:r>
      <w:r w:rsidR="00161C58">
        <w:fldChar w:fldCharType="separate"/>
      </w:r>
      <w:r w:rsidR="00161C58">
        <w:rPr>
          <w:noProof/>
        </w:rPr>
        <w:t>2</w:t>
      </w:r>
      <w:r w:rsidR="00161C58">
        <w:rPr>
          <w:noProof/>
        </w:rPr>
        <w:fldChar w:fldCharType="end"/>
      </w:r>
      <w:bookmarkEnd w:id="65"/>
      <w:r>
        <w:t>. Simulation Regions Summary for Winter</w:t>
      </w:r>
      <w:bookmarkEnd w:id="66"/>
      <w:bookmarkEnd w:id="67"/>
    </w:p>
    <w:tbl>
      <w:tblPr>
        <w:tblW w:w="9355" w:type="dxa"/>
        <w:jc w:val="center"/>
        <w:tblLook w:val="04A0" w:firstRow="1" w:lastRow="0" w:firstColumn="1" w:lastColumn="0" w:noHBand="0" w:noVBand="1"/>
      </w:tblPr>
      <w:tblGrid>
        <w:gridCol w:w="1795"/>
        <w:gridCol w:w="1710"/>
        <w:gridCol w:w="1170"/>
        <w:gridCol w:w="2520"/>
        <w:gridCol w:w="2160"/>
      </w:tblGrid>
      <w:tr w:rsidR="006F0388" w:rsidRPr="006F0388" w14:paraId="0B7BA1AB" w14:textId="77777777" w:rsidTr="00FD55A8">
        <w:trPr>
          <w:trHeight w:val="900"/>
          <w:jc w:val="center"/>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4A83E5" w14:textId="77777777" w:rsidR="006F0388" w:rsidRPr="006F0388" w:rsidRDefault="006F0388" w:rsidP="006F0388">
            <w:pPr>
              <w:spacing w:line="240" w:lineRule="auto"/>
              <w:jc w:val="left"/>
              <w:rPr>
                <w:rFonts w:ascii="Calibri" w:hAnsi="Calibri" w:cs="Calibri"/>
                <w:b/>
                <w:bCs/>
                <w:color w:val="000000"/>
                <w:sz w:val="22"/>
                <w:szCs w:val="22"/>
              </w:rPr>
            </w:pPr>
            <w:r w:rsidRPr="006F0388">
              <w:rPr>
                <w:rFonts w:ascii="Calibri" w:hAnsi="Calibri" w:cs="Calibri"/>
                <w:b/>
                <w:bCs/>
                <w:color w:val="000000"/>
                <w:sz w:val="22"/>
                <w:szCs w:val="22"/>
              </w:rPr>
              <w:t>Region Name</w:t>
            </w:r>
          </w:p>
        </w:tc>
        <w:tc>
          <w:tcPr>
            <w:tcW w:w="1710" w:type="dxa"/>
            <w:tcBorders>
              <w:top w:val="single" w:sz="4" w:space="0" w:color="auto"/>
              <w:left w:val="nil"/>
              <w:bottom w:val="single" w:sz="4" w:space="0" w:color="auto"/>
              <w:right w:val="single" w:sz="4" w:space="0" w:color="auto"/>
            </w:tcBorders>
            <w:shd w:val="clear" w:color="auto" w:fill="auto"/>
            <w:vAlign w:val="bottom"/>
            <w:hideMark/>
          </w:tcPr>
          <w:p w14:paraId="70B2B690" w14:textId="77777777" w:rsidR="006F0388" w:rsidRPr="006F0388" w:rsidRDefault="006F0388" w:rsidP="006F0388">
            <w:pPr>
              <w:spacing w:line="240" w:lineRule="auto"/>
              <w:jc w:val="center"/>
              <w:rPr>
                <w:rFonts w:ascii="Calibri" w:hAnsi="Calibri" w:cs="Calibri"/>
                <w:b/>
                <w:bCs/>
                <w:color w:val="000000"/>
                <w:sz w:val="22"/>
                <w:szCs w:val="22"/>
              </w:rPr>
            </w:pPr>
            <w:r w:rsidRPr="006F0388">
              <w:rPr>
                <w:rFonts w:ascii="Calibri" w:hAnsi="Calibri" w:cs="Calibri"/>
                <w:b/>
                <w:bCs/>
                <w:color w:val="000000"/>
                <w:sz w:val="22"/>
                <w:szCs w:val="22"/>
              </w:rPr>
              <w:t>Winter Reserve Margin Modeled (%)</w:t>
            </w:r>
          </w:p>
        </w:tc>
        <w:tc>
          <w:tcPr>
            <w:tcW w:w="1170" w:type="dxa"/>
            <w:tcBorders>
              <w:top w:val="single" w:sz="4" w:space="0" w:color="auto"/>
              <w:left w:val="nil"/>
              <w:bottom w:val="single" w:sz="4" w:space="0" w:color="auto"/>
              <w:right w:val="single" w:sz="4" w:space="0" w:color="auto"/>
            </w:tcBorders>
            <w:shd w:val="clear" w:color="auto" w:fill="auto"/>
            <w:vAlign w:val="bottom"/>
            <w:hideMark/>
          </w:tcPr>
          <w:p w14:paraId="1312B25E" w14:textId="77777777" w:rsidR="006F0388" w:rsidRPr="006F0388" w:rsidRDefault="006F0388" w:rsidP="006F0388">
            <w:pPr>
              <w:spacing w:line="240" w:lineRule="auto"/>
              <w:jc w:val="center"/>
              <w:rPr>
                <w:rFonts w:ascii="Calibri" w:hAnsi="Calibri" w:cs="Calibri"/>
                <w:b/>
                <w:bCs/>
                <w:color w:val="000000"/>
                <w:sz w:val="22"/>
                <w:szCs w:val="22"/>
              </w:rPr>
            </w:pPr>
            <w:r w:rsidRPr="006F0388">
              <w:rPr>
                <w:rFonts w:ascii="Calibri" w:hAnsi="Calibri" w:cs="Calibri"/>
                <w:b/>
                <w:bCs/>
                <w:color w:val="000000"/>
                <w:sz w:val="22"/>
                <w:szCs w:val="22"/>
              </w:rPr>
              <w:t>Peak Load (MW)</w:t>
            </w:r>
          </w:p>
        </w:tc>
        <w:tc>
          <w:tcPr>
            <w:tcW w:w="2520" w:type="dxa"/>
            <w:tcBorders>
              <w:top w:val="single" w:sz="4" w:space="0" w:color="auto"/>
              <w:left w:val="nil"/>
              <w:bottom w:val="single" w:sz="4" w:space="0" w:color="auto"/>
              <w:right w:val="single" w:sz="4" w:space="0" w:color="auto"/>
            </w:tcBorders>
            <w:shd w:val="clear" w:color="auto" w:fill="auto"/>
            <w:vAlign w:val="bottom"/>
            <w:hideMark/>
          </w:tcPr>
          <w:p w14:paraId="4F5183F5" w14:textId="795B4D7A" w:rsidR="006F0388" w:rsidRPr="006F0388" w:rsidRDefault="006F0388" w:rsidP="006F0388">
            <w:pPr>
              <w:spacing w:line="240" w:lineRule="auto"/>
              <w:jc w:val="center"/>
              <w:rPr>
                <w:rFonts w:ascii="Calibri" w:hAnsi="Calibri" w:cs="Calibri"/>
                <w:b/>
                <w:bCs/>
                <w:color w:val="000000"/>
                <w:sz w:val="22"/>
                <w:szCs w:val="22"/>
              </w:rPr>
            </w:pPr>
            <w:r w:rsidRPr="006F0388">
              <w:rPr>
                <w:rFonts w:ascii="Calibri" w:hAnsi="Calibri" w:cs="Calibri"/>
                <w:b/>
                <w:bCs/>
                <w:color w:val="000000"/>
                <w:sz w:val="22"/>
                <w:szCs w:val="22"/>
              </w:rPr>
              <w:t>Average Transfer Capability into Southern Company System</w:t>
            </w:r>
            <w:r w:rsidR="009F5D2E">
              <w:rPr>
                <w:rFonts w:ascii="Calibri" w:hAnsi="Calibri" w:cs="Calibri"/>
                <w:b/>
                <w:bCs/>
                <w:color w:val="000000"/>
                <w:sz w:val="22"/>
                <w:szCs w:val="22"/>
              </w:rPr>
              <w:t xml:space="preserve"> </w:t>
            </w:r>
            <w:r w:rsidRPr="006F0388">
              <w:rPr>
                <w:rFonts w:ascii="Calibri" w:hAnsi="Calibri" w:cs="Calibri"/>
                <w:b/>
                <w:bCs/>
                <w:color w:val="000000"/>
                <w:sz w:val="22"/>
                <w:szCs w:val="22"/>
              </w:rPr>
              <w:t>(MW)</w:t>
            </w:r>
          </w:p>
        </w:tc>
        <w:tc>
          <w:tcPr>
            <w:tcW w:w="2160" w:type="dxa"/>
            <w:tcBorders>
              <w:top w:val="single" w:sz="4" w:space="0" w:color="auto"/>
              <w:left w:val="nil"/>
              <w:bottom w:val="single" w:sz="4" w:space="0" w:color="auto"/>
              <w:right w:val="single" w:sz="4" w:space="0" w:color="auto"/>
            </w:tcBorders>
            <w:shd w:val="clear" w:color="auto" w:fill="auto"/>
            <w:vAlign w:val="bottom"/>
            <w:hideMark/>
          </w:tcPr>
          <w:p w14:paraId="0540369C" w14:textId="0E98A55B" w:rsidR="006F0388" w:rsidRPr="006F0388" w:rsidRDefault="006F0388" w:rsidP="006F0388">
            <w:pPr>
              <w:spacing w:line="240" w:lineRule="auto"/>
              <w:jc w:val="center"/>
              <w:rPr>
                <w:rFonts w:ascii="Calibri" w:hAnsi="Calibri" w:cs="Calibri"/>
                <w:b/>
                <w:bCs/>
                <w:color w:val="000000"/>
                <w:sz w:val="22"/>
                <w:szCs w:val="22"/>
              </w:rPr>
            </w:pPr>
            <w:r w:rsidRPr="006F0388">
              <w:rPr>
                <w:rFonts w:ascii="Calibri" w:hAnsi="Calibri" w:cs="Calibri"/>
                <w:b/>
                <w:bCs/>
                <w:color w:val="000000"/>
                <w:sz w:val="22"/>
                <w:szCs w:val="22"/>
              </w:rPr>
              <w:t>CBM into Southern Company System (MW)</w:t>
            </w:r>
          </w:p>
        </w:tc>
      </w:tr>
      <w:tr w:rsidR="00E471A6" w:rsidRPr="006F0388" w14:paraId="5B920BEC" w14:textId="77777777" w:rsidTr="00FD55A8">
        <w:trPr>
          <w:trHeight w:val="300"/>
          <w:jc w:val="center"/>
        </w:trPr>
        <w:tc>
          <w:tcPr>
            <w:tcW w:w="17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F5C9EE" w14:textId="7F86A5AE"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Duke</w:t>
            </w:r>
          </w:p>
        </w:tc>
        <w:tc>
          <w:tcPr>
            <w:tcW w:w="1710" w:type="dxa"/>
            <w:tcBorders>
              <w:top w:val="nil"/>
              <w:left w:val="nil"/>
              <w:bottom w:val="single" w:sz="4" w:space="0" w:color="auto"/>
              <w:right w:val="single" w:sz="4" w:space="0" w:color="auto"/>
            </w:tcBorders>
            <w:shd w:val="clear" w:color="auto" w:fill="auto"/>
            <w:noWrap/>
            <w:hideMark/>
          </w:tcPr>
          <w:p w14:paraId="10507AC4" w14:textId="3B7AD3D2"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22%</w:t>
            </w:r>
          </w:p>
        </w:tc>
        <w:tc>
          <w:tcPr>
            <w:tcW w:w="1170" w:type="dxa"/>
            <w:tcBorders>
              <w:top w:val="nil"/>
              <w:left w:val="nil"/>
              <w:bottom w:val="single" w:sz="4" w:space="0" w:color="auto"/>
              <w:right w:val="single" w:sz="4" w:space="0" w:color="auto"/>
            </w:tcBorders>
            <w:shd w:val="clear" w:color="auto" w:fill="auto"/>
            <w:noWrap/>
            <w:hideMark/>
          </w:tcPr>
          <w:p w14:paraId="7A8279BB" w14:textId="5AB3EDFF"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18,129 </w:t>
            </w:r>
          </w:p>
        </w:tc>
        <w:tc>
          <w:tcPr>
            <w:tcW w:w="2520" w:type="dxa"/>
            <w:tcBorders>
              <w:top w:val="nil"/>
              <w:left w:val="nil"/>
              <w:bottom w:val="single" w:sz="4" w:space="0" w:color="auto"/>
              <w:right w:val="single" w:sz="4" w:space="0" w:color="auto"/>
            </w:tcBorders>
            <w:shd w:val="clear" w:color="auto" w:fill="auto"/>
            <w:noWrap/>
            <w:hideMark/>
          </w:tcPr>
          <w:p w14:paraId="7A84F48A" w14:textId="75660FA8"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407</w:t>
            </w:r>
          </w:p>
        </w:tc>
        <w:tc>
          <w:tcPr>
            <w:tcW w:w="2160" w:type="dxa"/>
            <w:tcBorders>
              <w:top w:val="nil"/>
              <w:left w:val="nil"/>
              <w:bottom w:val="single" w:sz="4" w:space="0" w:color="auto"/>
              <w:right w:val="single" w:sz="4" w:space="0" w:color="auto"/>
            </w:tcBorders>
            <w:shd w:val="clear" w:color="auto" w:fill="auto"/>
            <w:noWrap/>
            <w:hideMark/>
          </w:tcPr>
          <w:p w14:paraId="59A64AD7" w14:textId="57F40545"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100</w:t>
            </w:r>
          </w:p>
        </w:tc>
      </w:tr>
      <w:tr w:rsidR="00E471A6" w:rsidRPr="006F0388" w14:paraId="21F2AC4F"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hideMark/>
          </w:tcPr>
          <w:p w14:paraId="0CE03334" w14:textId="6852EC22"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FPL</w:t>
            </w:r>
          </w:p>
        </w:tc>
        <w:tc>
          <w:tcPr>
            <w:tcW w:w="1710" w:type="dxa"/>
            <w:tcBorders>
              <w:top w:val="nil"/>
              <w:left w:val="nil"/>
              <w:bottom w:val="single" w:sz="4" w:space="0" w:color="auto"/>
              <w:right w:val="single" w:sz="4" w:space="0" w:color="auto"/>
            </w:tcBorders>
            <w:shd w:val="clear" w:color="auto" w:fill="auto"/>
            <w:noWrap/>
            <w:hideMark/>
          </w:tcPr>
          <w:p w14:paraId="10191CE6" w14:textId="56440499"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45%</w:t>
            </w:r>
          </w:p>
        </w:tc>
        <w:tc>
          <w:tcPr>
            <w:tcW w:w="1170" w:type="dxa"/>
            <w:tcBorders>
              <w:top w:val="nil"/>
              <w:left w:val="nil"/>
              <w:bottom w:val="single" w:sz="4" w:space="0" w:color="auto"/>
              <w:right w:val="single" w:sz="4" w:space="0" w:color="auto"/>
            </w:tcBorders>
            <w:shd w:val="clear" w:color="auto" w:fill="auto"/>
            <w:noWrap/>
            <w:hideMark/>
          </w:tcPr>
          <w:p w14:paraId="2E765037" w14:textId="35604BA4"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22,299 </w:t>
            </w:r>
          </w:p>
        </w:tc>
        <w:tc>
          <w:tcPr>
            <w:tcW w:w="2520" w:type="dxa"/>
            <w:tcBorders>
              <w:top w:val="nil"/>
              <w:left w:val="nil"/>
              <w:bottom w:val="single" w:sz="4" w:space="0" w:color="auto"/>
              <w:right w:val="single" w:sz="4" w:space="0" w:color="auto"/>
            </w:tcBorders>
            <w:shd w:val="clear" w:color="auto" w:fill="auto"/>
            <w:noWrap/>
            <w:hideMark/>
          </w:tcPr>
          <w:p w14:paraId="0BF00B5A" w14:textId="77AA1B66"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153</w:t>
            </w:r>
          </w:p>
        </w:tc>
        <w:tc>
          <w:tcPr>
            <w:tcW w:w="2160" w:type="dxa"/>
            <w:tcBorders>
              <w:top w:val="nil"/>
              <w:left w:val="nil"/>
              <w:bottom w:val="single" w:sz="4" w:space="0" w:color="auto"/>
              <w:right w:val="single" w:sz="4" w:space="0" w:color="auto"/>
            </w:tcBorders>
            <w:shd w:val="clear" w:color="auto" w:fill="auto"/>
            <w:noWrap/>
            <w:hideMark/>
          </w:tcPr>
          <w:p w14:paraId="12F0261C" w14:textId="5469E7E7"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250</w:t>
            </w:r>
          </w:p>
        </w:tc>
      </w:tr>
      <w:tr w:rsidR="00E471A6" w:rsidRPr="006F0388" w14:paraId="31163486"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hideMark/>
          </w:tcPr>
          <w:p w14:paraId="75C905A6" w14:textId="52210559"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FPLNW</w:t>
            </w:r>
          </w:p>
        </w:tc>
        <w:tc>
          <w:tcPr>
            <w:tcW w:w="1710" w:type="dxa"/>
            <w:tcBorders>
              <w:top w:val="nil"/>
              <w:left w:val="nil"/>
              <w:bottom w:val="single" w:sz="4" w:space="0" w:color="auto"/>
              <w:right w:val="single" w:sz="4" w:space="0" w:color="auto"/>
            </w:tcBorders>
            <w:shd w:val="clear" w:color="auto" w:fill="auto"/>
            <w:noWrap/>
            <w:hideMark/>
          </w:tcPr>
          <w:p w14:paraId="3BEA9EED" w14:textId="5595ABBA"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24%</w:t>
            </w:r>
          </w:p>
        </w:tc>
        <w:tc>
          <w:tcPr>
            <w:tcW w:w="1170" w:type="dxa"/>
            <w:tcBorders>
              <w:top w:val="nil"/>
              <w:left w:val="nil"/>
              <w:bottom w:val="single" w:sz="4" w:space="0" w:color="auto"/>
              <w:right w:val="single" w:sz="4" w:space="0" w:color="auto"/>
            </w:tcBorders>
            <w:shd w:val="clear" w:color="auto" w:fill="auto"/>
            <w:noWrap/>
            <w:hideMark/>
          </w:tcPr>
          <w:p w14:paraId="32DFBA0C" w14:textId="4CACB3F8"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2,246 </w:t>
            </w:r>
          </w:p>
        </w:tc>
        <w:tc>
          <w:tcPr>
            <w:tcW w:w="2520" w:type="dxa"/>
            <w:tcBorders>
              <w:top w:val="nil"/>
              <w:left w:val="nil"/>
              <w:bottom w:val="single" w:sz="4" w:space="0" w:color="auto"/>
              <w:right w:val="single" w:sz="4" w:space="0" w:color="auto"/>
            </w:tcBorders>
            <w:shd w:val="clear" w:color="auto" w:fill="auto"/>
            <w:noWrap/>
            <w:hideMark/>
          </w:tcPr>
          <w:p w14:paraId="4BF130EE" w14:textId="048FD3DD"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1</w:t>
            </w:r>
            <w:r w:rsidR="00457EBA">
              <w:rPr>
                <w:rFonts w:ascii="Calibri" w:hAnsi="Calibri" w:cs="Calibri"/>
                <w:sz w:val="22"/>
                <w:szCs w:val="22"/>
              </w:rPr>
              <w:t>,</w:t>
            </w:r>
            <w:r w:rsidRPr="00E471A6">
              <w:rPr>
                <w:rFonts w:ascii="Calibri" w:hAnsi="Calibri" w:cs="Calibri"/>
                <w:sz w:val="22"/>
                <w:szCs w:val="22"/>
              </w:rPr>
              <w:t>164</w:t>
            </w:r>
          </w:p>
        </w:tc>
        <w:tc>
          <w:tcPr>
            <w:tcW w:w="2160" w:type="dxa"/>
            <w:tcBorders>
              <w:top w:val="nil"/>
              <w:left w:val="nil"/>
              <w:bottom w:val="single" w:sz="4" w:space="0" w:color="auto"/>
              <w:right w:val="single" w:sz="4" w:space="0" w:color="auto"/>
            </w:tcBorders>
            <w:shd w:val="clear" w:color="auto" w:fill="auto"/>
            <w:noWrap/>
            <w:hideMark/>
          </w:tcPr>
          <w:p w14:paraId="7EEEFABE" w14:textId="6D447B4C"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33B2121C"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hideMark/>
          </w:tcPr>
          <w:p w14:paraId="3BE9C8EE" w14:textId="6FFE3383"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JEA</w:t>
            </w:r>
          </w:p>
        </w:tc>
        <w:tc>
          <w:tcPr>
            <w:tcW w:w="1710" w:type="dxa"/>
            <w:tcBorders>
              <w:top w:val="nil"/>
              <w:left w:val="nil"/>
              <w:bottom w:val="single" w:sz="4" w:space="0" w:color="auto"/>
              <w:right w:val="single" w:sz="4" w:space="0" w:color="auto"/>
            </w:tcBorders>
            <w:shd w:val="clear" w:color="auto" w:fill="auto"/>
            <w:noWrap/>
            <w:hideMark/>
          </w:tcPr>
          <w:p w14:paraId="12CE1A8C" w14:textId="2FDA8C7C"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22%</w:t>
            </w:r>
          </w:p>
        </w:tc>
        <w:tc>
          <w:tcPr>
            <w:tcW w:w="1170" w:type="dxa"/>
            <w:tcBorders>
              <w:top w:val="nil"/>
              <w:left w:val="nil"/>
              <w:bottom w:val="single" w:sz="4" w:space="0" w:color="auto"/>
              <w:right w:val="single" w:sz="4" w:space="0" w:color="auto"/>
            </w:tcBorders>
            <w:shd w:val="clear" w:color="auto" w:fill="auto"/>
            <w:noWrap/>
            <w:hideMark/>
          </w:tcPr>
          <w:p w14:paraId="07DD164C" w14:textId="7CD3DB4F"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2,913 </w:t>
            </w:r>
          </w:p>
        </w:tc>
        <w:tc>
          <w:tcPr>
            <w:tcW w:w="2520" w:type="dxa"/>
            <w:tcBorders>
              <w:top w:val="nil"/>
              <w:left w:val="nil"/>
              <w:bottom w:val="single" w:sz="4" w:space="0" w:color="auto"/>
              <w:right w:val="single" w:sz="4" w:space="0" w:color="auto"/>
            </w:tcBorders>
            <w:shd w:val="clear" w:color="auto" w:fill="auto"/>
            <w:noWrap/>
            <w:hideMark/>
          </w:tcPr>
          <w:p w14:paraId="47AD263E" w14:textId="743592B2"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141</w:t>
            </w:r>
          </w:p>
        </w:tc>
        <w:tc>
          <w:tcPr>
            <w:tcW w:w="2160" w:type="dxa"/>
            <w:tcBorders>
              <w:top w:val="nil"/>
              <w:left w:val="nil"/>
              <w:bottom w:val="single" w:sz="4" w:space="0" w:color="auto"/>
              <w:right w:val="single" w:sz="4" w:space="0" w:color="auto"/>
            </w:tcBorders>
            <w:shd w:val="clear" w:color="auto" w:fill="auto"/>
            <w:noWrap/>
            <w:hideMark/>
          </w:tcPr>
          <w:p w14:paraId="58A1010C" w14:textId="127DF10E"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43B5A7DB"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hideMark/>
          </w:tcPr>
          <w:p w14:paraId="516D9376" w14:textId="75ACFF8A"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MEAG</w:t>
            </w:r>
          </w:p>
        </w:tc>
        <w:tc>
          <w:tcPr>
            <w:tcW w:w="1710" w:type="dxa"/>
            <w:tcBorders>
              <w:top w:val="nil"/>
              <w:left w:val="nil"/>
              <w:bottom w:val="single" w:sz="4" w:space="0" w:color="auto"/>
              <w:right w:val="single" w:sz="4" w:space="0" w:color="auto"/>
            </w:tcBorders>
            <w:shd w:val="clear" w:color="auto" w:fill="auto"/>
            <w:noWrap/>
            <w:hideMark/>
          </w:tcPr>
          <w:p w14:paraId="73BF0728" w14:textId="7120D4E7"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39%</w:t>
            </w:r>
          </w:p>
        </w:tc>
        <w:tc>
          <w:tcPr>
            <w:tcW w:w="1170" w:type="dxa"/>
            <w:tcBorders>
              <w:top w:val="nil"/>
              <w:left w:val="nil"/>
              <w:bottom w:val="single" w:sz="4" w:space="0" w:color="auto"/>
              <w:right w:val="single" w:sz="4" w:space="0" w:color="auto"/>
            </w:tcBorders>
            <w:shd w:val="clear" w:color="auto" w:fill="auto"/>
            <w:noWrap/>
            <w:hideMark/>
          </w:tcPr>
          <w:p w14:paraId="02827BF3" w14:textId="47C334F1"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2,306 </w:t>
            </w:r>
          </w:p>
        </w:tc>
        <w:tc>
          <w:tcPr>
            <w:tcW w:w="2520" w:type="dxa"/>
            <w:tcBorders>
              <w:top w:val="nil"/>
              <w:left w:val="nil"/>
              <w:bottom w:val="single" w:sz="4" w:space="0" w:color="auto"/>
              <w:right w:val="single" w:sz="4" w:space="0" w:color="auto"/>
            </w:tcBorders>
            <w:shd w:val="clear" w:color="auto" w:fill="auto"/>
            <w:noWrap/>
            <w:hideMark/>
          </w:tcPr>
          <w:p w14:paraId="62D9DAD6" w14:textId="040BE7ED"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Unlimited</w:t>
            </w:r>
          </w:p>
        </w:tc>
        <w:tc>
          <w:tcPr>
            <w:tcW w:w="2160" w:type="dxa"/>
            <w:tcBorders>
              <w:top w:val="nil"/>
              <w:left w:val="nil"/>
              <w:bottom w:val="single" w:sz="4" w:space="0" w:color="auto"/>
              <w:right w:val="single" w:sz="4" w:space="0" w:color="auto"/>
            </w:tcBorders>
            <w:shd w:val="clear" w:color="auto" w:fill="auto"/>
            <w:noWrap/>
            <w:hideMark/>
          </w:tcPr>
          <w:p w14:paraId="5AAD4179" w14:textId="70B4B59A"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69FB9336"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hideMark/>
          </w:tcPr>
          <w:p w14:paraId="2AF561CA" w14:textId="559172C8"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MISO-South</w:t>
            </w:r>
          </w:p>
        </w:tc>
        <w:tc>
          <w:tcPr>
            <w:tcW w:w="1710" w:type="dxa"/>
            <w:tcBorders>
              <w:top w:val="nil"/>
              <w:left w:val="nil"/>
              <w:bottom w:val="single" w:sz="4" w:space="0" w:color="auto"/>
              <w:right w:val="single" w:sz="4" w:space="0" w:color="auto"/>
            </w:tcBorders>
            <w:shd w:val="clear" w:color="auto" w:fill="auto"/>
            <w:noWrap/>
            <w:hideMark/>
          </w:tcPr>
          <w:p w14:paraId="22B54512" w14:textId="42C31A7C"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34%</w:t>
            </w:r>
          </w:p>
        </w:tc>
        <w:tc>
          <w:tcPr>
            <w:tcW w:w="1170" w:type="dxa"/>
            <w:tcBorders>
              <w:top w:val="nil"/>
              <w:left w:val="nil"/>
              <w:bottom w:val="single" w:sz="4" w:space="0" w:color="auto"/>
              <w:right w:val="single" w:sz="4" w:space="0" w:color="auto"/>
            </w:tcBorders>
            <w:shd w:val="clear" w:color="auto" w:fill="auto"/>
            <w:noWrap/>
            <w:hideMark/>
          </w:tcPr>
          <w:p w14:paraId="1F279058" w14:textId="7877F6DA"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29,967 </w:t>
            </w:r>
          </w:p>
        </w:tc>
        <w:tc>
          <w:tcPr>
            <w:tcW w:w="2520" w:type="dxa"/>
            <w:tcBorders>
              <w:top w:val="nil"/>
              <w:left w:val="nil"/>
              <w:bottom w:val="single" w:sz="4" w:space="0" w:color="auto"/>
              <w:right w:val="single" w:sz="4" w:space="0" w:color="auto"/>
            </w:tcBorders>
            <w:shd w:val="clear" w:color="auto" w:fill="auto"/>
            <w:noWrap/>
            <w:hideMark/>
          </w:tcPr>
          <w:p w14:paraId="4BD93A6A" w14:textId="1CBF6CA0"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w:t>
            </w:r>
            <w:r w:rsidR="00457EBA">
              <w:rPr>
                <w:rFonts w:ascii="Calibri" w:hAnsi="Calibri" w:cs="Calibri"/>
                <w:sz w:val="22"/>
                <w:szCs w:val="22"/>
              </w:rPr>
              <w:t>,</w:t>
            </w:r>
            <w:r w:rsidRPr="00E471A6">
              <w:rPr>
                <w:rFonts w:ascii="Calibri" w:hAnsi="Calibri" w:cs="Calibri"/>
                <w:sz w:val="22"/>
                <w:szCs w:val="22"/>
              </w:rPr>
              <w:t>374</w:t>
            </w:r>
          </w:p>
        </w:tc>
        <w:tc>
          <w:tcPr>
            <w:tcW w:w="2160" w:type="dxa"/>
            <w:tcBorders>
              <w:top w:val="nil"/>
              <w:left w:val="nil"/>
              <w:bottom w:val="single" w:sz="4" w:space="0" w:color="auto"/>
              <w:right w:val="single" w:sz="4" w:space="0" w:color="auto"/>
            </w:tcBorders>
            <w:shd w:val="clear" w:color="auto" w:fill="auto"/>
            <w:noWrap/>
            <w:hideMark/>
          </w:tcPr>
          <w:p w14:paraId="67A2C20E" w14:textId="0F4BBBFB"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300</w:t>
            </w:r>
          </w:p>
        </w:tc>
      </w:tr>
      <w:tr w:rsidR="00E471A6" w:rsidRPr="006F0388" w14:paraId="6F6DCA51"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hideMark/>
          </w:tcPr>
          <w:p w14:paraId="734B6FAE" w14:textId="75A0AA00"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OPC</w:t>
            </w:r>
          </w:p>
        </w:tc>
        <w:tc>
          <w:tcPr>
            <w:tcW w:w="1710" w:type="dxa"/>
            <w:tcBorders>
              <w:top w:val="nil"/>
              <w:left w:val="nil"/>
              <w:bottom w:val="single" w:sz="4" w:space="0" w:color="auto"/>
              <w:right w:val="single" w:sz="4" w:space="0" w:color="auto"/>
            </w:tcBorders>
            <w:shd w:val="clear" w:color="auto" w:fill="auto"/>
            <w:noWrap/>
            <w:hideMark/>
          </w:tcPr>
          <w:p w14:paraId="30086A16" w14:textId="65EE9B43"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36%</w:t>
            </w:r>
          </w:p>
        </w:tc>
        <w:tc>
          <w:tcPr>
            <w:tcW w:w="1170" w:type="dxa"/>
            <w:tcBorders>
              <w:top w:val="nil"/>
              <w:left w:val="nil"/>
              <w:bottom w:val="single" w:sz="4" w:space="0" w:color="auto"/>
              <w:right w:val="single" w:sz="4" w:space="0" w:color="auto"/>
            </w:tcBorders>
            <w:shd w:val="clear" w:color="auto" w:fill="auto"/>
            <w:noWrap/>
            <w:hideMark/>
          </w:tcPr>
          <w:p w14:paraId="4DDA9BD8" w14:textId="300B85FA"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10,240 </w:t>
            </w:r>
          </w:p>
        </w:tc>
        <w:tc>
          <w:tcPr>
            <w:tcW w:w="2520" w:type="dxa"/>
            <w:tcBorders>
              <w:top w:val="nil"/>
              <w:left w:val="nil"/>
              <w:bottom w:val="single" w:sz="4" w:space="0" w:color="auto"/>
              <w:right w:val="single" w:sz="4" w:space="0" w:color="auto"/>
            </w:tcBorders>
            <w:shd w:val="clear" w:color="auto" w:fill="auto"/>
            <w:noWrap/>
            <w:hideMark/>
          </w:tcPr>
          <w:p w14:paraId="56997CBE" w14:textId="66EBE032"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Unlimited</w:t>
            </w:r>
          </w:p>
        </w:tc>
        <w:tc>
          <w:tcPr>
            <w:tcW w:w="2160" w:type="dxa"/>
            <w:tcBorders>
              <w:top w:val="nil"/>
              <w:left w:val="nil"/>
              <w:bottom w:val="single" w:sz="4" w:space="0" w:color="auto"/>
              <w:right w:val="single" w:sz="4" w:space="0" w:color="auto"/>
            </w:tcBorders>
            <w:shd w:val="clear" w:color="auto" w:fill="auto"/>
            <w:noWrap/>
            <w:hideMark/>
          </w:tcPr>
          <w:p w14:paraId="5953659B" w14:textId="0FED6CA9"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02407EA4"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hideMark/>
          </w:tcPr>
          <w:p w14:paraId="61F76B8D" w14:textId="2AD6FDAD"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Progress Carolinas</w:t>
            </w:r>
          </w:p>
        </w:tc>
        <w:tc>
          <w:tcPr>
            <w:tcW w:w="1710" w:type="dxa"/>
            <w:tcBorders>
              <w:top w:val="nil"/>
              <w:left w:val="nil"/>
              <w:bottom w:val="single" w:sz="4" w:space="0" w:color="auto"/>
              <w:right w:val="single" w:sz="4" w:space="0" w:color="auto"/>
            </w:tcBorders>
            <w:shd w:val="clear" w:color="auto" w:fill="auto"/>
            <w:noWrap/>
            <w:hideMark/>
          </w:tcPr>
          <w:p w14:paraId="6BE5F03D" w14:textId="7B27EC43"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23%</w:t>
            </w:r>
          </w:p>
        </w:tc>
        <w:tc>
          <w:tcPr>
            <w:tcW w:w="1170" w:type="dxa"/>
            <w:tcBorders>
              <w:top w:val="nil"/>
              <w:left w:val="nil"/>
              <w:bottom w:val="single" w:sz="4" w:space="0" w:color="auto"/>
              <w:right w:val="single" w:sz="4" w:space="0" w:color="auto"/>
            </w:tcBorders>
            <w:shd w:val="clear" w:color="auto" w:fill="auto"/>
            <w:noWrap/>
            <w:hideMark/>
          </w:tcPr>
          <w:p w14:paraId="6F3E4334" w14:textId="1B1830B2"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14,735 </w:t>
            </w:r>
          </w:p>
        </w:tc>
        <w:tc>
          <w:tcPr>
            <w:tcW w:w="2520" w:type="dxa"/>
            <w:tcBorders>
              <w:top w:val="nil"/>
              <w:left w:val="nil"/>
              <w:bottom w:val="single" w:sz="4" w:space="0" w:color="auto"/>
              <w:right w:val="single" w:sz="4" w:space="0" w:color="auto"/>
            </w:tcBorders>
            <w:shd w:val="clear" w:color="auto" w:fill="auto"/>
            <w:noWrap/>
            <w:hideMark/>
          </w:tcPr>
          <w:p w14:paraId="42A50339" w14:textId="46AB3199"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c>
          <w:tcPr>
            <w:tcW w:w="2160" w:type="dxa"/>
            <w:tcBorders>
              <w:top w:val="nil"/>
              <w:left w:val="nil"/>
              <w:bottom w:val="single" w:sz="4" w:space="0" w:color="auto"/>
              <w:right w:val="single" w:sz="4" w:space="0" w:color="auto"/>
            </w:tcBorders>
            <w:shd w:val="clear" w:color="auto" w:fill="auto"/>
            <w:noWrap/>
            <w:hideMark/>
          </w:tcPr>
          <w:p w14:paraId="4F7979BF" w14:textId="344E2FA4"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7C5FCC2F"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hideMark/>
          </w:tcPr>
          <w:p w14:paraId="7F46FC6B" w14:textId="579E6B76"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Progress FL</w:t>
            </w:r>
          </w:p>
        </w:tc>
        <w:tc>
          <w:tcPr>
            <w:tcW w:w="1710" w:type="dxa"/>
            <w:tcBorders>
              <w:top w:val="nil"/>
              <w:left w:val="nil"/>
              <w:bottom w:val="single" w:sz="4" w:space="0" w:color="auto"/>
              <w:right w:val="single" w:sz="4" w:space="0" w:color="auto"/>
            </w:tcBorders>
            <w:shd w:val="clear" w:color="auto" w:fill="auto"/>
            <w:noWrap/>
            <w:hideMark/>
          </w:tcPr>
          <w:p w14:paraId="614E8078" w14:textId="606C80E1"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25%</w:t>
            </w:r>
          </w:p>
        </w:tc>
        <w:tc>
          <w:tcPr>
            <w:tcW w:w="1170" w:type="dxa"/>
            <w:tcBorders>
              <w:top w:val="nil"/>
              <w:left w:val="nil"/>
              <w:bottom w:val="single" w:sz="4" w:space="0" w:color="auto"/>
              <w:right w:val="single" w:sz="4" w:space="0" w:color="auto"/>
            </w:tcBorders>
            <w:shd w:val="clear" w:color="auto" w:fill="auto"/>
            <w:noWrap/>
            <w:hideMark/>
          </w:tcPr>
          <w:p w14:paraId="1BA36638" w14:textId="35B6FBC1"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11,233 </w:t>
            </w:r>
          </w:p>
        </w:tc>
        <w:tc>
          <w:tcPr>
            <w:tcW w:w="2520" w:type="dxa"/>
            <w:tcBorders>
              <w:top w:val="nil"/>
              <w:left w:val="nil"/>
              <w:bottom w:val="single" w:sz="4" w:space="0" w:color="auto"/>
              <w:right w:val="single" w:sz="4" w:space="0" w:color="auto"/>
            </w:tcBorders>
            <w:shd w:val="clear" w:color="auto" w:fill="auto"/>
            <w:noWrap/>
            <w:hideMark/>
          </w:tcPr>
          <w:p w14:paraId="66953806" w14:textId="36569DA6"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50</w:t>
            </w:r>
          </w:p>
        </w:tc>
        <w:tc>
          <w:tcPr>
            <w:tcW w:w="2160" w:type="dxa"/>
            <w:tcBorders>
              <w:top w:val="nil"/>
              <w:left w:val="nil"/>
              <w:bottom w:val="single" w:sz="4" w:space="0" w:color="auto"/>
              <w:right w:val="single" w:sz="4" w:space="0" w:color="auto"/>
            </w:tcBorders>
            <w:shd w:val="clear" w:color="auto" w:fill="auto"/>
            <w:noWrap/>
            <w:hideMark/>
          </w:tcPr>
          <w:p w14:paraId="05933B8A" w14:textId="4F19A1F3"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3AD33073"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hideMark/>
          </w:tcPr>
          <w:p w14:paraId="022929FA" w14:textId="16BB8F4B"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Santee Cooper</w:t>
            </w:r>
          </w:p>
        </w:tc>
        <w:tc>
          <w:tcPr>
            <w:tcW w:w="1710" w:type="dxa"/>
            <w:tcBorders>
              <w:top w:val="nil"/>
              <w:left w:val="nil"/>
              <w:bottom w:val="single" w:sz="4" w:space="0" w:color="auto"/>
              <w:right w:val="single" w:sz="4" w:space="0" w:color="auto"/>
            </w:tcBorders>
            <w:shd w:val="clear" w:color="auto" w:fill="auto"/>
            <w:noWrap/>
            <w:hideMark/>
          </w:tcPr>
          <w:p w14:paraId="003C1BE3" w14:textId="74D16DA0"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6%</w:t>
            </w:r>
          </w:p>
        </w:tc>
        <w:tc>
          <w:tcPr>
            <w:tcW w:w="1170" w:type="dxa"/>
            <w:tcBorders>
              <w:top w:val="nil"/>
              <w:left w:val="nil"/>
              <w:bottom w:val="single" w:sz="4" w:space="0" w:color="auto"/>
              <w:right w:val="single" w:sz="4" w:space="0" w:color="auto"/>
            </w:tcBorders>
            <w:shd w:val="clear" w:color="auto" w:fill="auto"/>
            <w:noWrap/>
            <w:hideMark/>
          </w:tcPr>
          <w:p w14:paraId="1D06928F" w14:textId="1A69D346"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5,506 </w:t>
            </w:r>
          </w:p>
        </w:tc>
        <w:tc>
          <w:tcPr>
            <w:tcW w:w="2520" w:type="dxa"/>
            <w:tcBorders>
              <w:top w:val="nil"/>
              <w:left w:val="nil"/>
              <w:bottom w:val="single" w:sz="4" w:space="0" w:color="auto"/>
              <w:right w:val="single" w:sz="4" w:space="0" w:color="auto"/>
            </w:tcBorders>
            <w:shd w:val="clear" w:color="auto" w:fill="auto"/>
            <w:noWrap/>
            <w:hideMark/>
          </w:tcPr>
          <w:p w14:paraId="2031402D" w14:textId="2E5D53AC"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533</w:t>
            </w:r>
          </w:p>
        </w:tc>
        <w:tc>
          <w:tcPr>
            <w:tcW w:w="2160" w:type="dxa"/>
            <w:tcBorders>
              <w:top w:val="nil"/>
              <w:left w:val="nil"/>
              <w:bottom w:val="single" w:sz="4" w:space="0" w:color="auto"/>
              <w:right w:val="single" w:sz="4" w:space="0" w:color="auto"/>
            </w:tcBorders>
            <w:shd w:val="clear" w:color="auto" w:fill="auto"/>
            <w:noWrap/>
            <w:hideMark/>
          </w:tcPr>
          <w:p w14:paraId="1C77CBD3" w14:textId="6A161EDF"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126424E8"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hideMark/>
          </w:tcPr>
          <w:p w14:paraId="52F67A9A" w14:textId="0630E0C6"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SCEG</w:t>
            </w:r>
          </w:p>
        </w:tc>
        <w:tc>
          <w:tcPr>
            <w:tcW w:w="1710" w:type="dxa"/>
            <w:tcBorders>
              <w:top w:val="nil"/>
              <w:left w:val="nil"/>
              <w:bottom w:val="single" w:sz="4" w:space="0" w:color="auto"/>
              <w:right w:val="single" w:sz="4" w:space="0" w:color="auto"/>
            </w:tcBorders>
            <w:shd w:val="clear" w:color="auto" w:fill="auto"/>
            <w:noWrap/>
            <w:hideMark/>
          </w:tcPr>
          <w:p w14:paraId="54CA4315" w14:textId="5DD0B9C0"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33%</w:t>
            </w:r>
          </w:p>
        </w:tc>
        <w:tc>
          <w:tcPr>
            <w:tcW w:w="1170" w:type="dxa"/>
            <w:tcBorders>
              <w:top w:val="nil"/>
              <w:left w:val="nil"/>
              <w:bottom w:val="single" w:sz="4" w:space="0" w:color="auto"/>
              <w:right w:val="single" w:sz="4" w:space="0" w:color="auto"/>
            </w:tcBorders>
            <w:shd w:val="clear" w:color="auto" w:fill="auto"/>
            <w:noWrap/>
            <w:hideMark/>
          </w:tcPr>
          <w:p w14:paraId="6E7C4E00" w14:textId="703E2BEC"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4,932 </w:t>
            </w:r>
          </w:p>
        </w:tc>
        <w:tc>
          <w:tcPr>
            <w:tcW w:w="2520" w:type="dxa"/>
            <w:tcBorders>
              <w:top w:val="nil"/>
              <w:left w:val="nil"/>
              <w:bottom w:val="single" w:sz="4" w:space="0" w:color="auto"/>
              <w:right w:val="single" w:sz="4" w:space="0" w:color="auto"/>
            </w:tcBorders>
            <w:shd w:val="clear" w:color="auto" w:fill="auto"/>
            <w:noWrap/>
            <w:hideMark/>
          </w:tcPr>
          <w:p w14:paraId="31C939E1" w14:textId="40680B40"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126</w:t>
            </w:r>
          </w:p>
        </w:tc>
        <w:tc>
          <w:tcPr>
            <w:tcW w:w="2160" w:type="dxa"/>
            <w:tcBorders>
              <w:top w:val="nil"/>
              <w:left w:val="nil"/>
              <w:bottom w:val="single" w:sz="4" w:space="0" w:color="auto"/>
              <w:right w:val="single" w:sz="4" w:space="0" w:color="auto"/>
            </w:tcBorders>
            <w:shd w:val="clear" w:color="auto" w:fill="auto"/>
            <w:noWrap/>
            <w:hideMark/>
          </w:tcPr>
          <w:p w14:paraId="0FBE4B87" w14:textId="5F738104"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345E3879"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hideMark/>
          </w:tcPr>
          <w:p w14:paraId="26E887DD" w14:textId="58296A1F"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TAL</w:t>
            </w:r>
          </w:p>
        </w:tc>
        <w:tc>
          <w:tcPr>
            <w:tcW w:w="1710" w:type="dxa"/>
            <w:tcBorders>
              <w:top w:val="nil"/>
              <w:left w:val="nil"/>
              <w:bottom w:val="single" w:sz="4" w:space="0" w:color="auto"/>
              <w:right w:val="single" w:sz="4" w:space="0" w:color="auto"/>
            </w:tcBorders>
            <w:shd w:val="clear" w:color="auto" w:fill="auto"/>
            <w:noWrap/>
            <w:hideMark/>
          </w:tcPr>
          <w:p w14:paraId="41B0E9E0" w14:textId="661F51BA"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64%</w:t>
            </w:r>
          </w:p>
        </w:tc>
        <w:tc>
          <w:tcPr>
            <w:tcW w:w="1170" w:type="dxa"/>
            <w:tcBorders>
              <w:top w:val="nil"/>
              <w:left w:val="nil"/>
              <w:bottom w:val="single" w:sz="4" w:space="0" w:color="auto"/>
              <w:right w:val="single" w:sz="4" w:space="0" w:color="auto"/>
            </w:tcBorders>
            <w:shd w:val="clear" w:color="auto" w:fill="auto"/>
            <w:noWrap/>
            <w:hideMark/>
          </w:tcPr>
          <w:p w14:paraId="3B08FFE1" w14:textId="40EF59BF"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583 </w:t>
            </w:r>
          </w:p>
        </w:tc>
        <w:tc>
          <w:tcPr>
            <w:tcW w:w="2520" w:type="dxa"/>
            <w:tcBorders>
              <w:top w:val="nil"/>
              <w:left w:val="nil"/>
              <w:bottom w:val="single" w:sz="4" w:space="0" w:color="auto"/>
              <w:right w:val="single" w:sz="4" w:space="0" w:color="auto"/>
            </w:tcBorders>
            <w:shd w:val="clear" w:color="auto" w:fill="auto"/>
            <w:noWrap/>
            <w:hideMark/>
          </w:tcPr>
          <w:p w14:paraId="634D3BD8" w14:textId="3A4B06E5"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20</w:t>
            </w:r>
          </w:p>
        </w:tc>
        <w:tc>
          <w:tcPr>
            <w:tcW w:w="2160" w:type="dxa"/>
            <w:tcBorders>
              <w:top w:val="nil"/>
              <w:left w:val="nil"/>
              <w:bottom w:val="single" w:sz="4" w:space="0" w:color="auto"/>
              <w:right w:val="single" w:sz="4" w:space="0" w:color="auto"/>
            </w:tcBorders>
            <w:shd w:val="clear" w:color="auto" w:fill="auto"/>
            <w:noWrap/>
            <w:hideMark/>
          </w:tcPr>
          <w:p w14:paraId="24FDB6E5" w14:textId="1ED9CEB8"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w:t>
            </w:r>
          </w:p>
        </w:tc>
      </w:tr>
      <w:tr w:rsidR="00E471A6" w:rsidRPr="006F0388" w14:paraId="780F4030" w14:textId="77777777" w:rsidTr="00FD55A8">
        <w:trPr>
          <w:trHeight w:val="300"/>
          <w:jc w:val="center"/>
        </w:trPr>
        <w:tc>
          <w:tcPr>
            <w:tcW w:w="1795" w:type="dxa"/>
            <w:tcBorders>
              <w:top w:val="nil"/>
              <w:left w:val="single" w:sz="4" w:space="0" w:color="auto"/>
              <w:bottom w:val="single" w:sz="4" w:space="0" w:color="auto"/>
              <w:right w:val="single" w:sz="4" w:space="0" w:color="auto"/>
            </w:tcBorders>
            <w:shd w:val="clear" w:color="auto" w:fill="auto"/>
            <w:noWrap/>
            <w:vAlign w:val="bottom"/>
            <w:hideMark/>
          </w:tcPr>
          <w:p w14:paraId="1DA94629" w14:textId="6BCF8B52" w:rsidR="00E471A6" w:rsidRPr="006F0388" w:rsidRDefault="00E471A6" w:rsidP="00E471A6">
            <w:pPr>
              <w:spacing w:line="240" w:lineRule="auto"/>
              <w:jc w:val="left"/>
              <w:rPr>
                <w:rFonts w:ascii="Calibri" w:hAnsi="Calibri" w:cs="Calibri"/>
                <w:b/>
                <w:bCs/>
                <w:color w:val="000000"/>
                <w:sz w:val="22"/>
                <w:szCs w:val="22"/>
              </w:rPr>
            </w:pPr>
            <w:r>
              <w:rPr>
                <w:rFonts w:ascii="Calibri" w:hAnsi="Calibri" w:cs="Calibri"/>
                <w:b/>
                <w:bCs/>
                <w:color w:val="000000"/>
                <w:sz w:val="22"/>
                <w:szCs w:val="22"/>
              </w:rPr>
              <w:t>TVA</w:t>
            </w:r>
          </w:p>
        </w:tc>
        <w:tc>
          <w:tcPr>
            <w:tcW w:w="1710" w:type="dxa"/>
            <w:tcBorders>
              <w:top w:val="nil"/>
              <w:left w:val="nil"/>
              <w:bottom w:val="single" w:sz="4" w:space="0" w:color="auto"/>
              <w:right w:val="single" w:sz="4" w:space="0" w:color="auto"/>
            </w:tcBorders>
            <w:shd w:val="clear" w:color="auto" w:fill="auto"/>
            <w:noWrap/>
            <w:hideMark/>
          </w:tcPr>
          <w:p w14:paraId="01F56253" w14:textId="2B094988"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15%</w:t>
            </w:r>
          </w:p>
        </w:tc>
        <w:tc>
          <w:tcPr>
            <w:tcW w:w="1170" w:type="dxa"/>
            <w:tcBorders>
              <w:top w:val="nil"/>
              <w:left w:val="nil"/>
              <w:bottom w:val="single" w:sz="4" w:space="0" w:color="auto"/>
              <w:right w:val="single" w:sz="4" w:space="0" w:color="auto"/>
            </w:tcBorders>
            <w:shd w:val="clear" w:color="auto" w:fill="auto"/>
            <w:noWrap/>
            <w:hideMark/>
          </w:tcPr>
          <w:p w14:paraId="3DC9ABF2" w14:textId="7F6AD5F4"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 xml:space="preserve"> 31,964 </w:t>
            </w:r>
          </w:p>
        </w:tc>
        <w:tc>
          <w:tcPr>
            <w:tcW w:w="2520" w:type="dxa"/>
            <w:tcBorders>
              <w:top w:val="nil"/>
              <w:left w:val="nil"/>
              <w:bottom w:val="single" w:sz="4" w:space="0" w:color="auto"/>
              <w:right w:val="single" w:sz="4" w:space="0" w:color="auto"/>
            </w:tcBorders>
            <w:shd w:val="clear" w:color="auto" w:fill="auto"/>
            <w:noWrap/>
            <w:hideMark/>
          </w:tcPr>
          <w:p w14:paraId="7CD639AE" w14:textId="2D46367E"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478</w:t>
            </w:r>
          </w:p>
        </w:tc>
        <w:tc>
          <w:tcPr>
            <w:tcW w:w="2160" w:type="dxa"/>
            <w:tcBorders>
              <w:top w:val="nil"/>
              <w:left w:val="nil"/>
              <w:bottom w:val="single" w:sz="4" w:space="0" w:color="auto"/>
              <w:right w:val="single" w:sz="4" w:space="0" w:color="auto"/>
            </w:tcBorders>
            <w:shd w:val="clear" w:color="auto" w:fill="auto"/>
            <w:noWrap/>
            <w:hideMark/>
          </w:tcPr>
          <w:p w14:paraId="416FC617" w14:textId="55076941" w:rsidR="00E471A6" w:rsidRPr="00E471A6" w:rsidRDefault="00E471A6" w:rsidP="00E471A6">
            <w:pPr>
              <w:spacing w:line="240" w:lineRule="auto"/>
              <w:jc w:val="center"/>
              <w:rPr>
                <w:rFonts w:ascii="Calibri" w:hAnsi="Calibri" w:cs="Calibri"/>
                <w:color w:val="000000"/>
                <w:sz w:val="22"/>
                <w:szCs w:val="22"/>
              </w:rPr>
            </w:pPr>
            <w:r w:rsidRPr="00E471A6">
              <w:rPr>
                <w:rFonts w:ascii="Calibri" w:hAnsi="Calibri" w:cs="Calibri"/>
                <w:sz w:val="22"/>
                <w:szCs w:val="22"/>
              </w:rPr>
              <w:t>250</w:t>
            </w:r>
          </w:p>
        </w:tc>
      </w:tr>
    </w:tbl>
    <w:p w14:paraId="0CA5428C" w14:textId="77777777" w:rsidR="004B49A6" w:rsidRPr="00574669" w:rsidRDefault="004B49A6" w:rsidP="00DB641B">
      <w:pPr>
        <w:keepNext/>
        <w:keepLines/>
        <w:rPr>
          <w:szCs w:val="24"/>
        </w:rPr>
      </w:pPr>
    </w:p>
    <w:p w14:paraId="3AF6A3EA" w14:textId="50D917E3" w:rsidR="004B49A6" w:rsidRDefault="004B49A6" w:rsidP="00217F0E"/>
    <w:p w14:paraId="33763C3A" w14:textId="59F151F6" w:rsidR="000B0ED2" w:rsidRDefault="000B0ED2" w:rsidP="00217F0E"/>
    <w:p w14:paraId="19E242DB" w14:textId="182B8209" w:rsidR="000B0ED2" w:rsidRDefault="000B0ED2" w:rsidP="00217F0E"/>
    <w:p w14:paraId="582848C4" w14:textId="1C7C7B92" w:rsidR="000B0ED2" w:rsidRDefault="000B0ED2" w:rsidP="00217F0E"/>
    <w:p w14:paraId="6E9D46E2" w14:textId="22B54ACF" w:rsidR="000B0ED2" w:rsidRDefault="000B0ED2" w:rsidP="00217F0E"/>
    <w:p w14:paraId="2003A0AC" w14:textId="4637A62C" w:rsidR="000B0ED2" w:rsidRDefault="000B0ED2" w:rsidP="00217F0E"/>
    <w:p w14:paraId="5FEECEF5" w14:textId="67867933" w:rsidR="000B0ED2" w:rsidRDefault="000B0ED2" w:rsidP="00217F0E"/>
    <w:p w14:paraId="2CE47E75" w14:textId="54D41BAE" w:rsidR="000B0ED2" w:rsidRDefault="000B0ED2" w:rsidP="00217F0E"/>
    <w:p w14:paraId="1D2ABCF0" w14:textId="77777777" w:rsidR="00E471A6" w:rsidRDefault="00E471A6" w:rsidP="00217F0E"/>
    <w:p w14:paraId="7146516E" w14:textId="77777777" w:rsidR="00E471A6" w:rsidRDefault="00E471A6" w:rsidP="00217F0E"/>
    <w:p w14:paraId="22F38B45" w14:textId="77777777" w:rsidR="00603690" w:rsidRDefault="00603690" w:rsidP="00217F0E"/>
    <w:p w14:paraId="5296E25F" w14:textId="77777777" w:rsidR="00603690" w:rsidRDefault="00603690" w:rsidP="00217F0E"/>
    <w:p w14:paraId="587A90D8" w14:textId="77777777" w:rsidR="00603690" w:rsidRDefault="00603690" w:rsidP="00217F0E"/>
    <w:p w14:paraId="1663D033" w14:textId="77777777" w:rsidR="00603690" w:rsidRDefault="00603690" w:rsidP="00217F0E"/>
    <w:p w14:paraId="6836BF7F" w14:textId="175D4A73" w:rsidR="000B0ED2" w:rsidRDefault="000B0ED2" w:rsidP="00217F0E"/>
    <w:p w14:paraId="70FDD30C" w14:textId="5496792E" w:rsidR="000B0ED2" w:rsidRDefault="000B0ED2" w:rsidP="00217F0E"/>
    <w:p w14:paraId="2BB3C370" w14:textId="2A5D5E7B" w:rsidR="000B0ED2" w:rsidRDefault="000B0ED2" w:rsidP="00217F0E"/>
    <w:p w14:paraId="22FB248C" w14:textId="31AED502" w:rsidR="004B49A6" w:rsidRDefault="004B49A6" w:rsidP="00217F0E">
      <w:pPr>
        <w:rPr>
          <w:szCs w:val="24"/>
        </w:rPr>
      </w:pPr>
      <w:r w:rsidRPr="00421157">
        <w:rPr>
          <w:szCs w:val="24"/>
        </w:rPr>
        <w:t>The topology used for the simulations is in</w:t>
      </w:r>
      <w:r w:rsidR="008D1228">
        <w:rPr>
          <w:szCs w:val="24"/>
        </w:rPr>
        <w:t xml:space="preserve"> </w:t>
      </w:r>
      <w:r w:rsidR="008D1228">
        <w:rPr>
          <w:szCs w:val="24"/>
        </w:rPr>
        <w:fldChar w:fldCharType="begin"/>
      </w:r>
      <w:r w:rsidR="008D1228">
        <w:rPr>
          <w:szCs w:val="24"/>
        </w:rPr>
        <w:instrText xml:space="preserve"> REF _Ref513785524 \h </w:instrText>
      </w:r>
      <w:r w:rsidR="008D1228">
        <w:rPr>
          <w:szCs w:val="24"/>
        </w:rPr>
      </w:r>
      <w:r w:rsidR="008D1228">
        <w:rPr>
          <w:szCs w:val="24"/>
        </w:rPr>
        <w:fldChar w:fldCharType="separate"/>
      </w:r>
      <w:r w:rsidR="00161C58">
        <w:t xml:space="preserve">Figure </w:t>
      </w:r>
      <w:r w:rsidR="00161C58">
        <w:rPr>
          <w:noProof/>
        </w:rPr>
        <w:t>I</w:t>
      </w:r>
      <w:r w:rsidR="00161C58">
        <w:t>.</w:t>
      </w:r>
      <w:r w:rsidR="00161C58">
        <w:rPr>
          <w:noProof/>
        </w:rPr>
        <w:t>4</w:t>
      </w:r>
      <w:r w:rsidR="008D1228">
        <w:rPr>
          <w:szCs w:val="24"/>
        </w:rPr>
        <w:fldChar w:fldCharType="end"/>
      </w:r>
      <w:r w:rsidRPr="00B138F0">
        <w:rPr>
          <w:szCs w:val="24"/>
        </w:rPr>
        <w:t>.</w:t>
      </w:r>
    </w:p>
    <w:p w14:paraId="17B5CEDA" w14:textId="77777777" w:rsidR="004B49A6" w:rsidRPr="00217F0E" w:rsidRDefault="004B49A6" w:rsidP="00217F0E">
      <w:pPr>
        <w:rPr>
          <w:szCs w:val="24"/>
        </w:rPr>
      </w:pPr>
    </w:p>
    <w:p w14:paraId="401CB423" w14:textId="64B9CDAB" w:rsidR="0053151C" w:rsidRDefault="00886D27" w:rsidP="0053151C">
      <w:pPr>
        <w:keepNext/>
      </w:pPr>
      <w:r>
        <w:rPr>
          <w:noProof/>
        </w:rPr>
        <w:drawing>
          <wp:inline distT="0" distB="0" distL="0" distR="0" wp14:anchorId="68092BF5" wp14:editId="2CF0A4FE">
            <wp:extent cx="5922181" cy="4231750"/>
            <wp:effectExtent l="0" t="0" r="0" b="0"/>
            <wp:docPr id="19694482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6266" cy="4248960"/>
                    </a:xfrm>
                    <a:prstGeom prst="rect">
                      <a:avLst/>
                    </a:prstGeom>
                    <a:noFill/>
                  </pic:spPr>
                </pic:pic>
              </a:graphicData>
            </a:graphic>
          </wp:inline>
        </w:drawing>
      </w:r>
    </w:p>
    <w:p w14:paraId="28378925" w14:textId="34B27EE0" w:rsidR="004B49A6" w:rsidRDefault="0053151C" w:rsidP="0053151C">
      <w:pPr>
        <w:pStyle w:val="Caption"/>
        <w:jc w:val="both"/>
        <w:rPr>
          <w:szCs w:val="24"/>
        </w:rPr>
      </w:pPr>
      <w:bookmarkStart w:id="68" w:name="_Ref513785524"/>
      <w:bookmarkStart w:id="69" w:name="_Toc513710582"/>
      <w:bookmarkStart w:id="70" w:name="_Toc187234664"/>
      <w:r>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4</w:t>
      </w:r>
      <w:r w:rsidR="00F262E6">
        <w:fldChar w:fldCharType="end"/>
      </w:r>
      <w:bookmarkEnd w:id="68"/>
      <w:r>
        <w:t>. Simulation Topology</w:t>
      </w:r>
      <w:bookmarkEnd w:id="69"/>
      <w:bookmarkEnd w:id="70"/>
    </w:p>
    <w:p w14:paraId="75950F87" w14:textId="77777777" w:rsidR="004B49A6" w:rsidRDefault="004B49A6" w:rsidP="00217F0E">
      <w:pPr>
        <w:rPr>
          <w:szCs w:val="24"/>
        </w:rPr>
      </w:pPr>
    </w:p>
    <w:p w14:paraId="0626B257" w14:textId="3337D937" w:rsidR="00D90D57" w:rsidRDefault="004B49A6" w:rsidP="00217F0E">
      <w:pPr>
        <w:rPr>
          <w:szCs w:val="24"/>
        </w:rPr>
      </w:pPr>
      <w:r w:rsidRPr="00B138F0">
        <w:rPr>
          <w:szCs w:val="24"/>
        </w:rPr>
        <w:t>S</w:t>
      </w:r>
      <w:r w:rsidRPr="00217F0E">
        <w:rPr>
          <w:szCs w:val="24"/>
        </w:rPr>
        <w:t xml:space="preserve">ales and purchase transactions </w:t>
      </w:r>
      <w:r w:rsidRPr="00372AC4">
        <w:rPr>
          <w:szCs w:val="24"/>
        </w:rPr>
        <w:t xml:space="preserve">are simulated between regions when the market price in one region is higher than an adjoining region and there is sufficient transfer capability. </w:t>
      </w:r>
      <w:r w:rsidR="007403B3">
        <w:rPr>
          <w:szCs w:val="24"/>
        </w:rPr>
        <w:t>To ensure that the System is</w:t>
      </w:r>
      <w:r w:rsidR="00603690">
        <w:rPr>
          <w:szCs w:val="24"/>
        </w:rPr>
        <w:t xml:space="preserve"> </w:t>
      </w:r>
      <w:r w:rsidR="007403B3">
        <w:rPr>
          <w:szCs w:val="24"/>
        </w:rPr>
        <w:t>n</w:t>
      </w:r>
      <w:r w:rsidR="00603690">
        <w:rPr>
          <w:szCs w:val="24"/>
        </w:rPr>
        <w:t>o</w:t>
      </w:r>
      <w:r w:rsidR="007403B3">
        <w:rPr>
          <w:szCs w:val="24"/>
        </w:rPr>
        <w:t xml:space="preserve">t over-reliant on neighboring regions </w:t>
      </w:r>
      <w:r w:rsidR="00603690">
        <w:rPr>
          <w:szCs w:val="24"/>
        </w:rPr>
        <w:t>and</w:t>
      </w:r>
      <w:r w:rsidR="007403B3">
        <w:rPr>
          <w:szCs w:val="24"/>
        </w:rPr>
        <w:t xml:space="preserve"> there</w:t>
      </w:r>
      <w:r w:rsidR="00603690">
        <w:rPr>
          <w:szCs w:val="24"/>
        </w:rPr>
        <w:t xml:space="preserve"> is no</w:t>
      </w:r>
      <w:r w:rsidR="007403B3">
        <w:rPr>
          <w:szCs w:val="24"/>
        </w:rPr>
        <w:t xml:space="preserve"> upward economic TRM pressure due to energy arbitrage opportunities that may exist in the S</w:t>
      </w:r>
      <w:r w:rsidR="00603690">
        <w:rPr>
          <w:szCs w:val="24"/>
        </w:rPr>
        <w:t>outheastern</w:t>
      </w:r>
      <w:r w:rsidR="007403B3">
        <w:rPr>
          <w:szCs w:val="24"/>
        </w:rPr>
        <w:t xml:space="preserve"> region,</w:t>
      </w:r>
      <w:r w:rsidR="00D90D57">
        <w:rPr>
          <w:szCs w:val="24"/>
        </w:rPr>
        <w:t xml:space="preserve"> a market</w:t>
      </w:r>
      <w:r w:rsidR="007403B3">
        <w:rPr>
          <w:szCs w:val="24"/>
        </w:rPr>
        <w:t xml:space="preserve"> </w:t>
      </w:r>
      <w:r w:rsidR="00D90D57">
        <w:rPr>
          <w:szCs w:val="24"/>
        </w:rPr>
        <w:t>calibration was performed. This calibration benchmarked modeled energy with</w:t>
      </w:r>
      <w:r w:rsidR="007403B3">
        <w:rPr>
          <w:szCs w:val="24"/>
        </w:rPr>
        <w:t xml:space="preserve"> actual, </w:t>
      </w:r>
      <w:r w:rsidR="00603690">
        <w:rPr>
          <w:szCs w:val="24"/>
        </w:rPr>
        <w:t>eight</w:t>
      </w:r>
      <w:r w:rsidR="007403B3">
        <w:rPr>
          <w:szCs w:val="24"/>
        </w:rPr>
        <w:t xml:space="preserve">-year average, non-PPA market transactions into and out of the </w:t>
      </w:r>
      <w:r w:rsidR="00603690">
        <w:rPr>
          <w:szCs w:val="24"/>
        </w:rPr>
        <w:t>Southern Company</w:t>
      </w:r>
      <w:r w:rsidR="007403B3">
        <w:rPr>
          <w:szCs w:val="24"/>
        </w:rPr>
        <w:t xml:space="preserve"> region. </w:t>
      </w:r>
    </w:p>
    <w:p w14:paraId="788B6A93" w14:textId="77777777" w:rsidR="00D90D57" w:rsidRDefault="00D90D57" w:rsidP="00217F0E">
      <w:pPr>
        <w:rPr>
          <w:szCs w:val="24"/>
        </w:rPr>
      </w:pPr>
    </w:p>
    <w:p w14:paraId="51D69A1B" w14:textId="77777777" w:rsidR="00D90D57" w:rsidRDefault="00D90D57" w:rsidP="00217F0E">
      <w:pPr>
        <w:rPr>
          <w:szCs w:val="24"/>
        </w:rPr>
      </w:pPr>
    </w:p>
    <w:p w14:paraId="0D6E7F54" w14:textId="77777777" w:rsidR="00D90D57" w:rsidRDefault="00D90D57" w:rsidP="00217F0E">
      <w:pPr>
        <w:rPr>
          <w:szCs w:val="24"/>
        </w:rPr>
      </w:pPr>
    </w:p>
    <w:p w14:paraId="436B4607" w14:textId="76B4C1DB" w:rsidR="004B49A6" w:rsidRPr="00943E4B" w:rsidRDefault="004B49A6" w:rsidP="00847C83">
      <w:pPr>
        <w:rPr>
          <w:szCs w:val="24"/>
        </w:rPr>
      </w:pPr>
      <w:r w:rsidRPr="00372AC4">
        <w:rPr>
          <w:szCs w:val="24"/>
        </w:rPr>
        <w:t xml:space="preserve">During extreme scenarios when loads are </w:t>
      </w:r>
      <w:r w:rsidR="00465C1C" w:rsidRPr="00372AC4">
        <w:rPr>
          <w:szCs w:val="24"/>
        </w:rPr>
        <w:t>high</w:t>
      </w:r>
      <w:r w:rsidRPr="00372AC4">
        <w:rPr>
          <w:szCs w:val="24"/>
        </w:rPr>
        <w:t xml:space="preserve"> and </w:t>
      </w:r>
      <w:r w:rsidR="008A4180">
        <w:rPr>
          <w:szCs w:val="24"/>
        </w:rPr>
        <w:t>several</w:t>
      </w:r>
      <w:r w:rsidRPr="00372AC4">
        <w:rPr>
          <w:szCs w:val="24"/>
        </w:rPr>
        <w:t xml:space="preserve"> units are in a forced outage state</w:t>
      </w:r>
      <w:r w:rsidR="008A4180">
        <w:rPr>
          <w:szCs w:val="24"/>
        </w:rPr>
        <w:t xml:space="preserve"> within all regions</w:t>
      </w:r>
      <w:r w:rsidRPr="00372AC4">
        <w:rPr>
          <w:szCs w:val="24"/>
        </w:rPr>
        <w:t xml:space="preserve">, prices can rise substantially higher than the cost of a CT. </w:t>
      </w:r>
      <w:r w:rsidRPr="00C627E2">
        <w:rPr>
          <w:szCs w:val="24"/>
        </w:rPr>
        <w:t>Scarcity pricing is</w:t>
      </w:r>
      <w:r w:rsidR="009F109E">
        <w:rPr>
          <w:szCs w:val="24"/>
        </w:rPr>
        <w:t xml:space="preserve"> the price markets experience when they are short on available capacity</w:t>
      </w:r>
      <w:r w:rsidRPr="00C627E2">
        <w:rPr>
          <w:szCs w:val="24"/>
        </w:rPr>
        <w:t xml:space="preserve">. </w:t>
      </w:r>
      <w:r>
        <w:rPr>
          <w:szCs w:val="24"/>
        </w:rPr>
        <w:t xml:space="preserve">While the scarcity </w:t>
      </w:r>
      <w:r w:rsidR="00465C1C">
        <w:rPr>
          <w:szCs w:val="24"/>
        </w:rPr>
        <w:t>pricing assumptions</w:t>
      </w:r>
      <w:r w:rsidR="009F109E">
        <w:rPr>
          <w:szCs w:val="24"/>
        </w:rPr>
        <w:t xml:space="preserve"> used in the Reserve Margin Study</w:t>
      </w:r>
      <w:r>
        <w:rPr>
          <w:szCs w:val="24"/>
        </w:rPr>
        <w:t xml:space="preserve"> </w:t>
      </w:r>
      <w:r w:rsidR="002F1455">
        <w:rPr>
          <w:szCs w:val="24"/>
        </w:rPr>
        <w:t xml:space="preserve">have </w:t>
      </w:r>
      <w:r>
        <w:rPr>
          <w:szCs w:val="24"/>
        </w:rPr>
        <w:t>been</w:t>
      </w:r>
      <w:r w:rsidR="002F1455">
        <w:rPr>
          <w:szCs w:val="24"/>
        </w:rPr>
        <w:t xml:space="preserve"> </w:t>
      </w:r>
      <w:r w:rsidRPr="00C627E2">
        <w:rPr>
          <w:szCs w:val="24"/>
        </w:rPr>
        <w:t>calibrated</w:t>
      </w:r>
      <w:r>
        <w:rPr>
          <w:szCs w:val="24"/>
        </w:rPr>
        <w:t xml:space="preserve"> </w:t>
      </w:r>
      <w:r w:rsidRPr="00421157">
        <w:rPr>
          <w:szCs w:val="24"/>
        </w:rPr>
        <w:t xml:space="preserve">to historical scarcity market prices, those relationships may not always hold. During scarcity </w:t>
      </w:r>
      <w:r w:rsidRPr="00B138F0">
        <w:rPr>
          <w:szCs w:val="24"/>
        </w:rPr>
        <w:t xml:space="preserve">situations, </w:t>
      </w:r>
      <w:r w:rsidR="008F0D74">
        <w:rPr>
          <w:szCs w:val="24"/>
        </w:rPr>
        <w:t>t</w:t>
      </w:r>
      <w:r>
        <w:rPr>
          <w:szCs w:val="24"/>
        </w:rPr>
        <w:t>he System</w:t>
      </w:r>
      <w:r w:rsidRPr="00B138F0">
        <w:rPr>
          <w:szCs w:val="24"/>
        </w:rPr>
        <w:t xml:space="preserve"> will be subject to the </w:t>
      </w:r>
      <w:r w:rsidRPr="00574669">
        <w:rPr>
          <w:szCs w:val="24"/>
        </w:rPr>
        <w:t>market and, because of the importance of service reliability</w:t>
      </w:r>
      <w:r w:rsidRPr="00943E4B">
        <w:rPr>
          <w:szCs w:val="24"/>
        </w:rPr>
        <w:t>, is expected to make purchases</w:t>
      </w:r>
      <w:r w:rsidR="001A320D">
        <w:rPr>
          <w:szCs w:val="24"/>
        </w:rPr>
        <w:t xml:space="preserve"> ev</w:t>
      </w:r>
      <w:r w:rsidR="003801D2">
        <w:rPr>
          <w:szCs w:val="24"/>
        </w:rPr>
        <w:t>e</w:t>
      </w:r>
      <w:r w:rsidR="001A320D">
        <w:rPr>
          <w:szCs w:val="24"/>
        </w:rPr>
        <w:t xml:space="preserve">n at prices well above </w:t>
      </w:r>
      <w:r w:rsidR="008C048B" w:rsidRPr="00950BC9">
        <w:rPr>
          <w:b/>
          <w:bCs/>
          <w:szCs w:val="24"/>
        </w:rPr>
        <w:t>REDACTED</w:t>
      </w:r>
      <w:r w:rsidRPr="00943E4B">
        <w:rPr>
          <w:szCs w:val="24"/>
        </w:rPr>
        <w:t xml:space="preserve"> if they are reliably available.</w:t>
      </w:r>
    </w:p>
    <w:p w14:paraId="056A439A" w14:textId="77777777" w:rsidR="004B49A6" w:rsidRPr="00943E4B" w:rsidRDefault="004B49A6" w:rsidP="00217F0E">
      <w:pPr>
        <w:rPr>
          <w:szCs w:val="24"/>
        </w:rPr>
      </w:pPr>
    </w:p>
    <w:p w14:paraId="58B030A1" w14:textId="71FD7AF6" w:rsidR="004B49A6" w:rsidRDefault="004B49A6" w:rsidP="00217F0E">
      <w:pPr>
        <w:rPr>
          <w:szCs w:val="24"/>
        </w:rPr>
      </w:pPr>
      <w:r w:rsidRPr="00943E4B">
        <w:rPr>
          <w:szCs w:val="24"/>
        </w:rPr>
        <w:t xml:space="preserve">A scarcity pricing curve, developed in conjunction with external consultant </w:t>
      </w:r>
      <w:r w:rsidR="00A262F8" w:rsidRPr="00943E4B">
        <w:rPr>
          <w:szCs w:val="24"/>
        </w:rPr>
        <w:t>A</w:t>
      </w:r>
      <w:r w:rsidR="00A262F8">
        <w:rPr>
          <w:szCs w:val="24"/>
        </w:rPr>
        <w:t>strapé</w:t>
      </w:r>
      <w:r w:rsidRPr="00943E4B">
        <w:rPr>
          <w:szCs w:val="24"/>
        </w:rPr>
        <w:t xml:space="preserve">, used </w:t>
      </w:r>
      <w:r w:rsidR="007C15F0" w:rsidRPr="00943E4B">
        <w:rPr>
          <w:szCs w:val="24"/>
        </w:rPr>
        <w:t>eight</w:t>
      </w:r>
      <w:r w:rsidRPr="00943E4B">
        <w:rPr>
          <w:szCs w:val="24"/>
        </w:rPr>
        <w:t xml:space="preserve"> years </w:t>
      </w:r>
      <w:r w:rsidR="007C15F0" w:rsidRPr="00943E4B">
        <w:rPr>
          <w:szCs w:val="24"/>
        </w:rPr>
        <w:t>(201</w:t>
      </w:r>
      <w:r w:rsidR="00D04944">
        <w:rPr>
          <w:szCs w:val="24"/>
        </w:rPr>
        <w:t>5</w:t>
      </w:r>
      <w:r w:rsidR="007C15F0" w:rsidRPr="00943E4B">
        <w:rPr>
          <w:szCs w:val="24"/>
        </w:rPr>
        <w:t>-20</w:t>
      </w:r>
      <w:r w:rsidR="00D04944">
        <w:rPr>
          <w:szCs w:val="24"/>
        </w:rPr>
        <w:t>22</w:t>
      </w:r>
      <w:r w:rsidR="007C15F0" w:rsidRPr="00943E4B">
        <w:rPr>
          <w:szCs w:val="24"/>
        </w:rPr>
        <w:t xml:space="preserve">) </w:t>
      </w:r>
      <w:r w:rsidRPr="00943E4B">
        <w:rPr>
          <w:szCs w:val="24"/>
        </w:rPr>
        <w:t xml:space="preserve">of historical market purchases to estimate </w:t>
      </w:r>
      <w:r w:rsidR="00CC2E36" w:rsidRPr="00943E4B">
        <w:rPr>
          <w:szCs w:val="24"/>
        </w:rPr>
        <w:t>the market purchase cost in scarcity scenarios</w:t>
      </w:r>
      <w:r w:rsidRPr="00943E4B">
        <w:rPr>
          <w:szCs w:val="24"/>
        </w:rPr>
        <w:t xml:space="preserve"> and is shown in </w:t>
      </w:r>
      <w:r w:rsidR="008D1228" w:rsidRPr="00943E4B">
        <w:rPr>
          <w:szCs w:val="24"/>
        </w:rPr>
        <w:fldChar w:fldCharType="begin"/>
      </w:r>
      <w:r w:rsidR="008D1228" w:rsidRPr="00943E4B">
        <w:rPr>
          <w:szCs w:val="24"/>
        </w:rPr>
        <w:instrText xml:space="preserve"> REF _Ref513785556 \h </w:instrText>
      </w:r>
      <w:r w:rsidR="00943E4B">
        <w:rPr>
          <w:szCs w:val="24"/>
        </w:rPr>
        <w:instrText xml:space="preserve"> \* MERGEFORMAT </w:instrText>
      </w:r>
      <w:r w:rsidR="008D1228" w:rsidRPr="00943E4B">
        <w:rPr>
          <w:szCs w:val="24"/>
        </w:rPr>
      </w:r>
      <w:r w:rsidR="008D1228" w:rsidRPr="00943E4B">
        <w:rPr>
          <w:szCs w:val="24"/>
        </w:rPr>
        <w:fldChar w:fldCharType="separate"/>
      </w:r>
      <w:r w:rsidR="00161C58" w:rsidRPr="00943E4B">
        <w:t xml:space="preserve">Figure </w:t>
      </w:r>
      <w:r w:rsidR="00161C58">
        <w:rPr>
          <w:noProof/>
        </w:rPr>
        <w:t>I</w:t>
      </w:r>
      <w:r w:rsidR="00161C58" w:rsidRPr="00943E4B">
        <w:t>.</w:t>
      </w:r>
      <w:r w:rsidR="00161C58">
        <w:rPr>
          <w:noProof/>
        </w:rPr>
        <w:t>5</w:t>
      </w:r>
      <w:r w:rsidR="008D1228" w:rsidRPr="00943E4B">
        <w:rPr>
          <w:szCs w:val="24"/>
        </w:rPr>
        <w:fldChar w:fldCharType="end"/>
      </w:r>
      <w:r w:rsidR="008D1228" w:rsidRPr="00943E4B">
        <w:rPr>
          <w:szCs w:val="24"/>
        </w:rPr>
        <w:t xml:space="preserve"> </w:t>
      </w:r>
      <w:r w:rsidRPr="00943E4B">
        <w:rPr>
          <w:szCs w:val="24"/>
        </w:rPr>
        <w:t xml:space="preserve">below. Scarcity prices could rise as high as </w:t>
      </w:r>
      <w:r w:rsidR="008C048B" w:rsidRPr="00BF46D2">
        <w:rPr>
          <w:b/>
          <w:bCs/>
          <w:szCs w:val="24"/>
        </w:rPr>
        <w:t>REDACTED</w:t>
      </w:r>
      <w:r w:rsidR="008C048B">
        <w:rPr>
          <w:szCs w:val="24"/>
        </w:rPr>
        <w:t xml:space="preserve"> i</w:t>
      </w:r>
      <w:r w:rsidRPr="00943E4B">
        <w:rPr>
          <w:szCs w:val="24"/>
        </w:rPr>
        <w:t xml:space="preserve">f a region </w:t>
      </w:r>
      <w:r w:rsidR="00CC2E36" w:rsidRPr="00943E4B">
        <w:rPr>
          <w:szCs w:val="24"/>
        </w:rPr>
        <w:t>experiences a system</w:t>
      </w:r>
      <w:r w:rsidRPr="00943E4B">
        <w:rPr>
          <w:szCs w:val="24"/>
        </w:rPr>
        <w:t xml:space="preserve"> emergency and shedding firm load is imminent. </w:t>
      </w:r>
      <w:r w:rsidR="0086787E" w:rsidRPr="00943E4B">
        <w:rPr>
          <w:szCs w:val="24"/>
        </w:rPr>
        <w:t xml:space="preserve">Scarcity prices are incremental (in addition) </w:t>
      </w:r>
      <w:r w:rsidR="0083570D" w:rsidRPr="00943E4B">
        <w:rPr>
          <w:szCs w:val="24"/>
        </w:rPr>
        <w:t>to energy market price</w:t>
      </w:r>
      <w:r w:rsidR="0086787E" w:rsidRPr="00943E4B">
        <w:rPr>
          <w:szCs w:val="24"/>
        </w:rPr>
        <w:t>.</w:t>
      </w:r>
    </w:p>
    <w:p w14:paraId="188F9ED1" w14:textId="77777777" w:rsidR="008C048B" w:rsidRDefault="008C048B" w:rsidP="00217F0E">
      <w:pPr>
        <w:rPr>
          <w:szCs w:val="24"/>
        </w:rPr>
      </w:pPr>
    </w:p>
    <w:p w14:paraId="58C4C9AF" w14:textId="77777777" w:rsidR="008C048B" w:rsidRDefault="008C048B" w:rsidP="00217F0E">
      <w:pPr>
        <w:rPr>
          <w:szCs w:val="24"/>
        </w:rPr>
      </w:pPr>
    </w:p>
    <w:p w14:paraId="36E20DDD" w14:textId="77777777" w:rsidR="008C048B" w:rsidRDefault="008C048B" w:rsidP="00217F0E">
      <w:pPr>
        <w:rPr>
          <w:szCs w:val="24"/>
        </w:rPr>
      </w:pPr>
    </w:p>
    <w:p w14:paraId="78207308" w14:textId="77777777" w:rsidR="008C048B" w:rsidRPr="00574669" w:rsidRDefault="008C048B" w:rsidP="00217F0E">
      <w:pPr>
        <w:rPr>
          <w:szCs w:val="24"/>
        </w:rPr>
      </w:pPr>
    </w:p>
    <w:p w14:paraId="7A46677A" w14:textId="029896E0" w:rsidR="004B49A6" w:rsidRPr="00574669" w:rsidRDefault="0087126D" w:rsidP="00217F0E">
      <w:pPr>
        <w:rPr>
          <w:szCs w:val="24"/>
        </w:rPr>
      </w:pPr>
      <w:r>
        <w:rPr>
          <w:noProof/>
        </w:rPr>
        <mc:AlternateContent>
          <mc:Choice Requires="wps">
            <w:drawing>
              <wp:inline distT="0" distB="0" distL="0" distR="0" wp14:anchorId="32E0B1D8" wp14:editId="5160C330">
                <wp:extent cx="5916168" cy="4297680"/>
                <wp:effectExtent l="0" t="0" r="27940" b="26670"/>
                <wp:docPr id="14" name="Rectangle 14"/>
                <wp:cNvGraphicFramePr/>
                <a:graphic xmlns:a="http://schemas.openxmlformats.org/drawingml/2006/main">
                  <a:graphicData uri="http://schemas.microsoft.com/office/word/2010/wordprocessingShape">
                    <wps:wsp>
                      <wps:cNvSpPr/>
                      <wps:spPr>
                        <a:xfrm>
                          <a:off x="0" y="0"/>
                          <a:ext cx="5916168" cy="4297680"/>
                        </a:xfrm>
                        <a:prstGeom prst="rect">
                          <a:avLst/>
                        </a:prstGeom>
                        <a:ln/>
                      </wps:spPr>
                      <wps:style>
                        <a:lnRef idx="2">
                          <a:schemeClr val="dk1"/>
                        </a:lnRef>
                        <a:fillRef idx="1">
                          <a:schemeClr val="lt1"/>
                        </a:fillRef>
                        <a:effectRef idx="0">
                          <a:schemeClr val="dk1"/>
                        </a:effectRef>
                        <a:fontRef idx="minor">
                          <a:schemeClr val="dk1"/>
                        </a:fontRef>
                      </wps:style>
                      <wps:txbx>
                        <w:txbxContent>
                          <w:p w14:paraId="0D16E7C4" w14:textId="77777777" w:rsidR="0087126D" w:rsidRPr="001334D1" w:rsidRDefault="0087126D" w:rsidP="0087126D">
                            <w:pPr>
                              <w:jc w:val="center"/>
                            </w:pPr>
                            <w:r w:rsidRPr="001334D1">
                              <w:rPr>
                                <w:b/>
                              </w:rPr>
                              <w:t>REDACTED</w:t>
                            </w:r>
                          </w:p>
                          <w:p w14:paraId="42C60446" w14:textId="77777777" w:rsidR="0087126D" w:rsidRDefault="0087126D" w:rsidP="0087126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2E0B1D8" id="Rectangle 14" o:spid="_x0000_s1026" style="width:465.85pt;height:338.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" fillcolor="white [3201]" strokecolor="black [3200]" strokeweight="2pt">
                <v:textbox>
                  <w:txbxContent>
                    <w:p w14:paraId="0D16E7C4" w14:textId="77777777" w:rsidR="0087126D" w:rsidRPr="001334D1" w:rsidRDefault="0087126D" w:rsidP="0087126D">
                      <w:pPr>
                        <w:jc w:val="center"/>
                      </w:pPr>
                      <w:r w:rsidRPr="001334D1">
                        <w:rPr>
                          <w:b/>
                        </w:rPr>
                        <w:t>REDACTED</w:t>
                      </w:r>
                    </w:p>
                    <w:p w14:paraId="42C60446" w14:textId="77777777" w:rsidR="0087126D" w:rsidRDefault="0087126D" w:rsidP="0087126D">
                      <w:pPr>
                        <w:jc w:val="center"/>
                      </w:pPr>
                    </w:p>
                  </w:txbxContent>
                </v:textbox>
                <w10:anchorlock/>
              </v:rect>
            </w:pict>
          </mc:Fallback>
        </mc:AlternateContent>
      </w:r>
    </w:p>
    <w:p w14:paraId="6DD654FB" w14:textId="76557E67" w:rsidR="00F77FF1" w:rsidRDefault="0053151C" w:rsidP="0053151C">
      <w:pPr>
        <w:pStyle w:val="Caption"/>
        <w:jc w:val="both"/>
        <w:rPr>
          <w:szCs w:val="24"/>
        </w:rPr>
      </w:pPr>
      <w:bookmarkStart w:id="71" w:name="_Ref513785556"/>
      <w:bookmarkStart w:id="72" w:name="_Toc513710583"/>
      <w:bookmarkStart w:id="73" w:name="_Toc187234665"/>
      <w:r w:rsidRPr="00943E4B">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5</w:t>
      </w:r>
      <w:r w:rsidR="00F262E6">
        <w:fldChar w:fldCharType="end"/>
      </w:r>
      <w:bookmarkEnd w:id="71"/>
      <w:r w:rsidRPr="00943E4B">
        <w:t>. Scarcity Pricing Curve</w:t>
      </w:r>
      <w:bookmarkEnd w:id="72"/>
      <w:bookmarkEnd w:id="73"/>
    </w:p>
    <w:p w14:paraId="5287079C" w14:textId="77777777" w:rsidR="00F77FF1" w:rsidRDefault="00F77FF1">
      <w:pPr>
        <w:rPr>
          <w:szCs w:val="24"/>
        </w:rPr>
      </w:pPr>
    </w:p>
    <w:p w14:paraId="213BD134" w14:textId="4E70324C" w:rsidR="004B49A6" w:rsidRDefault="004B49A6">
      <w:pPr>
        <w:rPr>
          <w:szCs w:val="24"/>
        </w:rPr>
      </w:pPr>
      <w:r w:rsidRPr="00421157">
        <w:rPr>
          <w:szCs w:val="24"/>
        </w:rPr>
        <w:t xml:space="preserve">During emergency conditions, </w:t>
      </w:r>
      <w:r>
        <w:rPr>
          <w:szCs w:val="24"/>
        </w:rPr>
        <w:t xml:space="preserve">the System procures </w:t>
      </w:r>
      <w:r w:rsidRPr="00421157">
        <w:rPr>
          <w:szCs w:val="24"/>
        </w:rPr>
        <w:t>as much energy</w:t>
      </w:r>
      <w:r w:rsidRPr="00B138F0">
        <w:rPr>
          <w:szCs w:val="24"/>
        </w:rPr>
        <w:t xml:space="preserve"> </w:t>
      </w:r>
      <w:r w:rsidRPr="00217F0E">
        <w:rPr>
          <w:szCs w:val="24"/>
        </w:rPr>
        <w:t xml:space="preserve">from the marketplace as possible and </w:t>
      </w:r>
      <w:r>
        <w:rPr>
          <w:szCs w:val="24"/>
        </w:rPr>
        <w:t xml:space="preserve">utilizes </w:t>
      </w:r>
      <w:r w:rsidRPr="00217F0E">
        <w:rPr>
          <w:szCs w:val="24"/>
        </w:rPr>
        <w:t>other peaking resources such as interruptible customers, voltage control, and emergency hydro</w:t>
      </w:r>
      <w:r>
        <w:rPr>
          <w:szCs w:val="24"/>
        </w:rPr>
        <w:t>.</w:t>
      </w:r>
      <w:r w:rsidRPr="00372AC4">
        <w:rPr>
          <w:szCs w:val="24"/>
        </w:rPr>
        <w:t xml:space="preserve"> If the </w:t>
      </w:r>
      <w:r>
        <w:rPr>
          <w:szCs w:val="24"/>
        </w:rPr>
        <w:t>S</w:t>
      </w:r>
      <w:r w:rsidRPr="00372AC4">
        <w:rPr>
          <w:szCs w:val="24"/>
        </w:rPr>
        <w:t xml:space="preserve">ystem is still short the necessary capacity to meet load plus operating reserves, </w:t>
      </w:r>
      <w:r w:rsidR="00DF3539">
        <w:rPr>
          <w:szCs w:val="24"/>
        </w:rPr>
        <w:t>Capacity Benefit Margin (“</w:t>
      </w:r>
      <w:r w:rsidRPr="00372AC4">
        <w:rPr>
          <w:szCs w:val="24"/>
        </w:rPr>
        <w:t>CBM</w:t>
      </w:r>
      <w:r w:rsidR="00DF3539">
        <w:rPr>
          <w:szCs w:val="24"/>
        </w:rPr>
        <w:t>”)</w:t>
      </w:r>
      <w:r w:rsidRPr="00372AC4">
        <w:rPr>
          <w:szCs w:val="24"/>
        </w:rPr>
        <w:t xml:space="preserve"> is utilized to obtain any additional energy that may be available</w:t>
      </w:r>
      <w:r w:rsidR="00DF3539">
        <w:rPr>
          <w:szCs w:val="24"/>
        </w:rPr>
        <w:t xml:space="preserve"> from neighboring systems</w:t>
      </w:r>
      <w:r w:rsidRPr="00372AC4">
        <w:rPr>
          <w:szCs w:val="24"/>
        </w:rPr>
        <w:t xml:space="preserve">. </w:t>
      </w:r>
      <w:r w:rsidR="0051775B">
        <w:rPr>
          <w:szCs w:val="24"/>
        </w:rPr>
        <w:t>The System</w:t>
      </w:r>
      <w:r w:rsidR="0051775B" w:rsidDel="0051775B">
        <w:rPr>
          <w:szCs w:val="24"/>
        </w:rPr>
        <w:t xml:space="preserve"> </w:t>
      </w:r>
      <w:r w:rsidRPr="00372AC4">
        <w:rPr>
          <w:szCs w:val="24"/>
        </w:rPr>
        <w:t>ha</w:t>
      </w:r>
      <w:r w:rsidR="0051775B">
        <w:rPr>
          <w:szCs w:val="24"/>
        </w:rPr>
        <w:t>s</w:t>
      </w:r>
      <w:r w:rsidRPr="00372AC4">
        <w:rPr>
          <w:szCs w:val="24"/>
        </w:rPr>
        <w:t xml:space="preserve"> CBM reservations on ties with Duke</w:t>
      </w:r>
      <w:r w:rsidR="00B2478E">
        <w:rPr>
          <w:szCs w:val="24"/>
        </w:rPr>
        <w:t xml:space="preserve"> Energy Carolinas</w:t>
      </w:r>
      <w:r w:rsidRPr="00372AC4">
        <w:rPr>
          <w:szCs w:val="24"/>
        </w:rPr>
        <w:t xml:space="preserve">, </w:t>
      </w:r>
      <w:r>
        <w:rPr>
          <w:szCs w:val="24"/>
        </w:rPr>
        <w:t>Florida Power and Light,</w:t>
      </w:r>
      <w:r w:rsidR="006F188D" w:rsidRPr="006F188D">
        <w:rPr>
          <w:szCs w:val="24"/>
        </w:rPr>
        <w:t xml:space="preserve"> </w:t>
      </w:r>
      <w:r w:rsidR="006F188D">
        <w:rPr>
          <w:szCs w:val="24"/>
        </w:rPr>
        <w:t>MISO-South</w:t>
      </w:r>
      <w:r w:rsidR="006F188D" w:rsidRPr="00372AC4">
        <w:rPr>
          <w:szCs w:val="24"/>
        </w:rPr>
        <w:t>,</w:t>
      </w:r>
      <w:r w:rsidR="006F188D">
        <w:rPr>
          <w:szCs w:val="24"/>
        </w:rPr>
        <w:t xml:space="preserve"> and T</w:t>
      </w:r>
      <w:r w:rsidR="00DF3539">
        <w:rPr>
          <w:szCs w:val="24"/>
        </w:rPr>
        <w:t>ennessee Valley Authority</w:t>
      </w:r>
      <w:r>
        <w:rPr>
          <w:szCs w:val="24"/>
        </w:rPr>
        <w:t xml:space="preserve"> </w:t>
      </w:r>
      <w:r w:rsidR="006F188D">
        <w:rPr>
          <w:szCs w:val="24"/>
        </w:rPr>
        <w:t>t</w:t>
      </w:r>
      <w:r w:rsidRPr="00372AC4">
        <w:rPr>
          <w:szCs w:val="24"/>
        </w:rPr>
        <w:t xml:space="preserve">otaling </w:t>
      </w:r>
      <w:r w:rsidR="006F188D">
        <w:rPr>
          <w:szCs w:val="24"/>
        </w:rPr>
        <w:t>900</w:t>
      </w:r>
      <w:r w:rsidRPr="00DB641B">
        <w:rPr>
          <w:szCs w:val="24"/>
        </w:rPr>
        <w:t xml:space="preserve"> </w:t>
      </w:r>
      <w:r w:rsidRPr="00372AC4">
        <w:rPr>
          <w:szCs w:val="24"/>
        </w:rPr>
        <w:t xml:space="preserve">MW. </w:t>
      </w:r>
      <w:r w:rsidR="00465C1C">
        <w:rPr>
          <w:szCs w:val="24"/>
        </w:rPr>
        <w:t xml:space="preserve">This CBM capability was modeled and utilized as needed in the analysis. </w:t>
      </w:r>
    </w:p>
    <w:p w14:paraId="0ED57017" w14:textId="77777777" w:rsidR="004B49A6" w:rsidRDefault="004B49A6">
      <w:pPr>
        <w:rPr>
          <w:szCs w:val="24"/>
        </w:rPr>
      </w:pPr>
    </w:p>
    <w:p w14:paraId="2D39DEAD" w14:textId="436ECA4C" w:rsidR="004B49A6" w:rsidRDefault="004B49A6">
      <w:r>
        <w:t xml:space="preserve">Despite the load diversity associated with the regional modeling discussed above, the actual availability </w:t>
      </w:r>
      <w:r w:rsidR="008F0D74">
        <w:t xml:space="preserve">of </w:t>
      </w:r>
      <w:r>
        <w:t xml:space="preserve">purchases from other entities is not always as available as the SERVM model might indicate. Southern Company’s </w:t>
      </w:r>
      <w:r w:rsidR="007A0929">
        <w:t>Commercial Operations</w:t>
      </w:r>
      <w:r w:rsidR="00D64EE1">
        <w:t xml:space="preserve"> </w:t>
      </w:r>
      <w:r>
        <w:t xml:space="preserve">organization has </w:t>
      </w:r>
      <w:r w:rsidR="003C0ABE">
        <w:t>advised</w:t>
      </w:r>
      <w:r>
        <w:t xml:space="preserve"> that under extremely high summer load conditions, the availability of purchases in the marketplace </w:t>
      </w:r>
      <w:r w:rsidR="00B45A67">
        <w:t>is unlikely to</w:t>
      </w:r>
      <w:r>
        <w:t xml:space="preserve"> exceed 2,</w:t>
      </w:r>
      <w:r w:rsidR="005067AF">
        <w:t>0</w:t>
      </w:r>
      <w:r>
        <w:t xml:space="preserve">00 MW. Likewise, under extremely high winter load conditions, the availability of purchases in the marketplace </w:t>
      </w:r>
      <w:r w:rsidR="00B45A67">
        <w:t>is unlikely to</w:t>
      </w:r>
      <w:r>
        <w:t xml:space="preserve"> exceed </w:t>
      </w:r>
      <w:r w:rsidR="00E623DA">
        <w:t>1</w:t>
      </w:r>
      <w:r>
        <w:t>,</w:t>
      </w:r>
      <w:r w:rsidR="00E623DA">
        <w:t>5</w:t>
      </w:r>
      <w:r>
        <w:t>00 MW. These limitations exist</w:t>
      </w:r>
      <w:r w:rsidR="00C6683C">
        <w:t xml:space="preserve"> for two reasons. First, during such extreme conditions, other market participants may also be experiencing conditions that approach the limits of their own system</w:t>
      </w:r>
      <w:r w:rsidR="47B5C5D7">
        <w:t>s</w:t>
      </w:r>
      <w:r w:rsidR="00C6683C">
        <w:t xml:space="preserve">. Therefore, even though the model may show some available diversity between the regions, those entities may be unwilling to sell that capacity due to the risks and uncertainty </w:t>
      </w:r>
      <w:r w:rsidR="00EF6C8C">
        <w:t>within</w:t>
      </w:r>
      <w:r w:rsidR="00C6683C">
        <w:t xml:space="preserve"> their own system</w:t>
      </w:r>
      <w:r w:rsidR="003C0ABE">
        <w:t>s</w:t>
      </w:r>
      <w:r w:rsidR="00C6683C">
        <w:t>.</w:t>
      </w:r>
      <w:r w:rsidR="00A648A6">
        <w:t xml:space="preserve"> </w:t>
      </w:r>
      <w:r w:rsidR="00C6683C">
        <w:t xml:space="preserve">Second, during such extreme conditions, there is often a </w:t>
      </w:r>
      <w:r>
        <w:t>high likelihood of transmission curtailments</w:t>
      </w:r>
      <w:r w:rsidR="00FE246C">
        <w:t>, in which case</w:t>
      </w:r>
      <w:r w:rsidR="00C6683C">
        <w:t xml:space="preserve"> some capacity that may be available may not be deliverable to the </w:t>
      </w:r>
      <w:r w:rsidR="00DF3539">
        <w:t>S</w:t>
      </w:r>
      <w:r w:rsidR="00C6683C">
        <w:t>ystem – even if there is transmission interface capability available</w:t>
      </w:r>
      <w:r>
        <w:t>. These limitations cannot be precisely modeled within SERVM, but a combination of both limits on sales price and hurdle rates between regions ha</w:t>
      </w:r>
      <w:r w:rsidR="00AB58AE">
        <w:t>s</w:t>
      </w:r>
      <w:r>
        <w:t xml:space="preserve"> been implemented as a means of </w:t>
      </w:r>
      <w:r w:rsidR="00B45A67">
        <w:t>addressing these issues</w:t>
      </w:r>
      <w:r>
        <w:t>.</w:t>
      </w:r>
    </w:p>
    <w:p w14:paraId="20204ECB" w14:textId="77777777" w:rsidR="004B49A6" w:rsidRDefault="004B49A6">
      <w:pPr>
        <w:rPr>
          <w:szCs w:val="24"/>
        </w:rPr>
      </w:pPr>
    </w:p>
    <w:p w14:paraId="57C30655" w14:textId="52BD2E5C" w:rsidR="00A76839" w:rsidRDefault="004B49A6" w:rsidP="00492731">
      <w:pPr>
        <w:rPr>
          <w:szCs w:val="24"/>
        </w:rPr>
      </w:pPr>
      <w:r w:rsidRPr="00C627E2">
        <w:rPr>
          <w:szCs w:val="24"/>
        </w:rPr>
        <w:t>Merchant capacity has been present in the southeastern U</w:t>
      </w:r>
      <w:r>
        <w:rPr>
          <w:szCs w:val="24"/>
        </w:rPr>
        <w:t xml:space="preserve">nited </w:t>
      </w:r>
      <w:r w:rsidRPr="00C627E2">
        <w:rPr>
          <w:szCs w:val="24"/>
        </w:rPr>
        <w:t>S</w:t>
      </w:r>
      <w:r>
        <w:rPr>
          <w:szCs w:val="24"/>
        </w:rPr>
        <w:t>tates</w:t>
      </w:r>
      <w:r w:rsidRPr="00C627E2">
        <w:rPr>
          <w:szCs w:val="24"/>
        </w:rPr>
        <w:t xml:space="preserve"> for over </w:t>
      </w:r>
      <w:r w:rsidR="00EF6C8C">
        <w:rPr>
          <w:szCs w:val="24"/>
        </w:rPr>
        <w:t>20</w:t>
      </w:r>
      <w:r w:rsidRPr="00C627E2">
        <w:rPr>
          <w:szCs w:val="24"/>
        </w:rPr>
        <w:t xml:space="preserve"> years, but the sporadic nature of its availability requir</w:t>
      </w:r>
      <w:r w:rsidRPr="00421157">
        <w:rPr>
          <w:szCs w:val="24"/>
        </w:rPr>
        <w:t xml:space="preserve">es planners to be conservative in assumptions about its presence in the future. Merchant capacity may be </w:t>
      </w:r>
      <w:r>
        <w:rPr>
          <w:szCs w:val="24"/>
        </w:rPr>
        <w:t>purchased</w:t>
      </w:r>
      <w:r w:rsidRPr="00421157">
        <w:rPr>
          <w:szCs w:val="24"/>
        </w:rPr>
        <w:t xml:space="preserve"> by other load serving entities in the region</w:t>
      </w:r>
      <w:r>
        <w:rPr>
          <w:szCs w:val="24"/>
        </w:rPr>
        <w:t>,</w:t>
      </w:r>
      <w:r w:rsidRPr="00421157">
        <w:rPr>
          <w:szCs w:val="24"/>
        </w:rPr>
        <w:t xml:space="preserve"> may not have firm transmission</w:t>
      </w:r>
      <w:r>
        <w:rPr>
          <w:szCs w:val="24"/>
        </w:rPr>
        <w:t>, or may not have firm fuel supply</w:t>
      </w:r>
      <w:r w:rsidRPr="00421157">
        <w:rPr>
          <w:szCs w:val="24"/>
        </w:rPr>
        <w:t xml:space="preserve">. For these reasons, merchant capacity was assumed to </w:t>
      </w:r>
      <w:r>
        <w:rPr>
          <w:szCs w:val="24"/>
        </w:rPr>
        <w:t>be</w:t>
      </w:r>
      <w:r w:rsidRPr="00421157">
        <w:rPr>
          <w:szCs w:val="24"/>
        </w:rPr>
        <w:t xml:space="preserve"> </w:t>
      </w:r>
      <w:r>
        <w:rPr>
          <w:szCs w:val="24"/>
        </w:rPr>
        <w:t>un</w:t>
      </w:r>
      <w:r w:rsidRPr="00B138F0">
        <w:rPr>
          <w:szCs w:val="24"/>
        </w:rPr>
        <w:t xml:space="preserve">available </w:t>
      </w:r>
      <w:r w:rsidRPr="00372AC4">
        <w:rPr>
          <w:szCs w:val="24"/>
        </w:rPr>
        <w:t>in the base case simulations.</w:t>
      </w:r>
      <w:bookmarkStart w:id="74" w:name="_Toc440257849"/>
      <w:bookmarkStart w:id="75" w:name="_Toc440260731"/>
      <w:bookmarkStart w:id="76" w:name="_Toc440262195"/>
      <w:bookmarkStart w:id="77" w:name="_Toc440257850"/>
      <w:bookmarkStart w:id="78" w:name="_Toc440260732"/>
      <w:bookmarkStart w:id="79" w:name="_Toc440262196"/>
      <w:bookmarkStart w:id="80" w:name="_Toc440257851"/>
      <w:bookmarkStart w:id="81" w:name="_Toc440260733"/>
      <w:bookmarkStart w:id="82" w:name="_Toc440262197"/>
      <w:bookmarkStart w:id="83" w:name="_Toc222110675"/>
      <w:bookmarkEnd w:id="74"/>
      <w:bookmarkEnd w:id="75"/>
      <w:bookmarkEnd w:id="76"/>
      <w:bookmarkEnd w:id="77"/>
      <w:bookmarkEnd w:id="78"/>
      <w:bookmarkEnd w:id="79"/>
      <w:bookmarkEnd w:id="80"/>
      <w:bookmarkEnd w:id="81"/>
      <w:bookmarkEnd w:id="82"/>
    </w:p>
    <w:p w14:paraId="5E4C704A" w14:textId="77777777" w:rsidR="00492731" w:rsidRPr="00492731" w:rsidRDefault="00492731" w:rsidP="00492731">
      <w:pPr>
        <w:rPr>
          <w:szCs w:val="24"/>
        </w:rPr>
      </w:pPr>
    </w:p>
    <w:p w14:paraId="1E536D76" w14:textId="1D23CA93" w:rsidR="00A76839" w:rsidRPr="00421157" w:rsidRDefault="001D6040" w:rsidP="00A76839">
      <w:pPr>
        <w:pStyle w:val="Heading2"/>
        <w:numPr>
          <w:ilvl w:val="1"/>
          <w:numId w:val="13"/>
        </w:numPr>
        <w:ind w:left="360"/>
      </w:pPr>
      <w:bookmarkStart w:id="84" w:name="_Toc187234591"/>
      <w:r>
        <w:t>Peak Load Forecast</w:t>
      </w:r>
      <w:bookmarkEnd w:id="84"/>
    </w:p>
    <w:p w14:paraId="7EDB2318" w14:textId="5DD35B81" w:rsidR="00737A8F" w:rsidRDefault="003A284E" w:rsidP="00737A8F">
      <w:r>
        <w:t>T</w:t>
      </w:r>
      <w:r w:rsidR="00737A8F">
        <w:t>he 202</w:t>
      </w:r>
      <w:r>
        <w:t>4</w:t>
      </w:r>
      <w:r w:rsidR="00737A8F">
        <w:t xml:space="preserve"> Reserve Margin Study was performed with seasonal peak load</w:t>
      </w:r>
      <w:r w:rsidR="006D66D9">
        <w:t xml:space="preserve"> defined</w:t>
      </w:r>
      <w:r w:rsidR="003801D2">
        <w:t>,</w:t>
      </w:r>
      <w:r w:rsidR="006D66D9">
        <w:t xml:space="preserve"> and</w:t>
      </w:r>
      <w:r w:rsidR="00737A8F">
        <w:t xml:space="preserve"> </w:t>
      </w:r>
      <w:r w:rsidR="006D66D9">
        <w:t>t</w:t>
      </w:r>
      <w:r w:rsidR="00737A8F">
        <w:t xml:space="preserve">he model adjusted </w:t>
      </w:r>
      <w:r w:rsidR="00B72332">
        <w:t>weather year</w:t>
      </w:r>
      <w:r w:rsidR="00737A8F">
        <w:t xml:space="preserve"> load shapes based on </w:t>
      </w:r>
      <w:r w:rsidR="006D66D9">
        <w:t>those</w:t>
      </w:r>
      <w:r w:rsidR="00737A8F">
        <w:t xml:space="preserve"> seasonal peak load values. </w:t>
      </w:r>
      <w:r>
        <w:t>The following 2028 System Peak Load values were used for all primary and sensitivity studies: 32,986 MW (Spring), 39,138 MW (Summer), 38,309 MW (Winter), and 30,286 MW (Autumn).</w:t>
      </w:r>
      <w:r w:rsidR="21EE4BB4">
        <w:t xml:space="preserve"> Utilizing these peak loads</w:t>
      </w:r>
      <w:r w:rsidR="57E4DF93">
        <w:t xml:space="preserve"> and related energy forecasts</w:t>
      </w:r>
      <w:r w:rsidR="21EE4BB4">
        <w:t>, the model applied a</w:t>
      </w:r>
      <w:r w:rsidR="5E0A59C5">
        <w:t xml:space="preserve"> </w:t>
      </w:r>
      <w:r w:rsidR="21EE4BB4">
        <w:t>scal</w:t>
      </w:r>
      <w:r w:rsidR="39A5D19B">
        <w:t>ing algorithm to adjust the indiv</w:t>
      </w:r>
      <w:r w:rsidR="3827DB7E">
        <w:t>i</w:t>
      </w:r>
      <w:r w:rsidR="39A5D19B">
        <w:t>dual weather</w:t>
      </w:r>
      <w:r w:rsidR="35915D94">
        <w:t xml:space="preserve"> year</w:t>
      </w:r>
      <w:r w:rsidR="39A5D19B">
        <w:t xml:space="preserve"> </w:t>
      </w:r>
      <w:r w:rsidR="7EA4E761">
        <w:t xml:space="preserve">load </w:t>
      </w:r>
      <w:r w:rsidR="39A5D19B">
        <w:t>shapes</w:t>
      </w:r>
      <w:r w:rsidR="58FACDD1">
        <w:t>.</w:t>
      </w:r>
    </w:p>
    <w:p w14:paraId="7BD14F5B" w14:textId="77777777" w:rsidR="00737A8F" w:rsidRDefault="00737A8F" w:rsidP="001D6040">
      <w:pPr>
        <w:rPr>
          <w:szCs w:val="24"/>
        </w:rPr>
      </w:pPr>
    </w:p>
    <w:p w14:paraId="77D264F5" w14:textId="5E106969" w:rsidR="001D6040" w:rsidRDefault="001D6040" w:rsidP="001D6040">
      <w:pPr>
        <w:rPr>
          <w:szCs w:val="24"/>
        </w:rPr>
      </w:pPr>
      <w:r>
        <w:rPr>
          <w:szCs w:val="24"/>
        </w:rPr>
        <w:t>On a weather-normal basis, the System remains a</w:t>
      </w:r>
      <w:r w:rsidR="009F5D2E">
        <w:rPr>
          <w:szCs w:val="24"/>
        </w:rPr>
        <w:t xml:space="preserve"> </w:t>
      </w:r>
      <w:r>
        <w:rPr>
          <w:szCs w:val="24"/>
        </w:rPr>
        <w:t xml:space="preserve">summer peaking utility. </w:t>
      </w:r>
      <w:r w:rsidR="003A284E">
        <w:rPr>
          <w:szCs w:val="24"/>
        </w:rPr>
        <w:t>However, t</w:t>
      </w:r>
      <w:r>
        <w:rPr>
          <w:szCs w:val="24"/>
        </w:rPr>
        <w:t xml:space="preserve">he gap between the weather-normal summer peak load and the weather-normal winter peak load </w:t>
      </w:r>
      <w:r w:rsidR="003A284E">
        <w:rPr>
          <w:szCs w:val="24"/>
        </w:rPr>
        <w:t>remains narrow</w:t>
      </w:r>
      <w:r>
        <w:rPr>
          <w:szCs w:val="24"/>
        </w:rPr>
        <w:t>.</w:t>
      </w:r>
      <w:r w:rsidR="00737A8F">
        <w:rPr>
          <w:szCs w:val="24"/>
        </w:rPr>
        <w:t xml:space="preserve"> </w:t>
      </w:r>
      <w:r w:rsidR="00456BBD">
        <w:rPr>
          <w:szCs w:val="24"/>
        </w:rPr>
        <w:fldChar w:fldCharType="begin"/>
      </w:r>
      <w:r w:rsidR="00456BBD">
        <w:rPr>
          <w:szCs w:val="24"/>
        </w:rPr>
        <w:instrText xml:space="preserve"> REF _Ref83895318 \h </w:instrText>
      </w:r>
      <w:r w:rsidR="00456BBD">
        <w:rPr>
          <w:szCs w:val="24"/>
        </w:rPr>
      </w:r>
      <w:r w:rsidR="00456BBD">
        <w:rPr>
          <w:szCs w:val="24"/>
        </w:rPr>
        <w:fldChar w:fldCharType="separate"/>
      </w:r>
      <w:r w:rsidR="00161C58">
        <w:t xml:space="preserve">Figure </w:t>
      </w:r>
      <w:r w:rsidR="00161C58">
        <w:rPr>
          <w:noProof/>
        </w:rPr>
        <w:t>I</w:t>
      </w:r>
      <w:r w:rsidR="00161C58">
        <w:t>.</w:t>
      </w:r>
      <w:r w:rsidR="00161C58">
        <w:rPr>
          <w:noProof/>
        </w:rPr>
        <w:t>6</w:t>
      </w:r>
      <w:r w:rsidR="00456BBD">
        <w:rPr>
          <w:szCs w:val="24"/>
        </w:rPr>
        <w:fldChar w:fldCharType="end"/>
      </w:r>
      <w:r w:rsidR="00456BBD">
        <w:rPr>
          <w:szCs w:val="24"/>
        </w:rPr>
        <w:t xml:space="preserve"> </w:t>
      </w:r>
      <w:r>
        <w:rPr>
          <w:szCs w:val="24"/>
        </w:rPr>
        <w:t xml:space="preserve">below shows the one-year ahead forecasted peak loads since 2006 as well as the </w:t>
      </w:r>
      <w:r w:rsidR="00820E2C">
        <w:rPr>
          <w:szCs w:val="24"/>
        </w:rPr>
        <w:t>b</w:t>
      </w:r>
      <w:r>
        <w:rPr>
          <w:szCs w:val="24"/>
        </w:rPr>
        <w:t>udget 20</w:t>
      </w:r>
      <w:r w:rsidR="00737A8F">
        <w:rPr>
          <w:szCs w:val="24"/>
        </w:rPr>
        <w:t>2</w:t>
      </w:r>
      <w:r w:rsidR="003A284E">
        <w:rPr>
          <w:szCs w:val="24"/>
        </w:rPr>
        <w:t>4</w:t>
      </w:r>
      <w:r>
        <w:rPr>
          <w:szCs w:val="24"/>
        </w:rPr>
        <w:t xml:space="preserve"> forward-looking longer-term forecast. The graph shows how the gap between the summer and winter weather-normal forecasted peak loads has narrowed since 2006 from greater than 6,600 MW to less than </w:t>
      </w:r>
      <w:r w:rsidR="003A284E">
        <w:rPr>
          <w:szCs w:val="24"/>
        </w:rPr>
        <w:t>900</w:t>
      </w:r>
      <w:r>
        <w:rPr>
          <w:szCs w:val="24"/>
        </w:rPr>
        <w:t xml:space="preserve"> MW. </w:t>
      </w:r>
    </w:p>
    <w:p w14:paraId="6B6F6C2D" w14:textId="41BF2C0F" w:rsidR="00737A8F" w:rsidRDefault="00737A8F" w:rsidP="00737A8F">
      <w:pPr>
        <w:keepNext/>
        <w:rPr>
          <w:noProof/>
        </w:rPr>
      </w:pPr>
    </w:p>
    <w:p w14:paraId="41DD00B4" w14:textId="783D2F87" w:rsidR="00144762" w:rsidRDefault="00400C5C" w:rsidP="00737A8F">
      <w:pPr>
        <w:keepNext/>
      </w:pPr>
      <w:r>
        <w:rPr>
          <w:noProof/>
        </w:rPr>
        <w:drawing>
          <wp:inline distT="0" distB="0" distL="0" distR="0" wp14:anchorId="13E17C88" wp14:editId="3FF0B403">
            <wp:extent cx="5933440" cy="4310567"/>
            <wp:effectExtent l="0" t="0" r="0" b="0"/>
            <wp:docPr id="151912967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2389" cy="4317068"/>
                    </a:xfrm>
                    <a:prstGeom prst="rect">
                      <a:avLst/>
                    </a:prstGeom>
                    <a:noFill/>
                  </pic:spPr>
                </pic:pic>
              </a:graphicData>
            </a:graphic>
          </wp:inline>
        </w:drawing>
      </w:r>
    </w:p>
    <w:p w14:paraId="6D320E00" w14:textId="1E486F52" w:rsidR="001D6040" w:rsidRDefault="00737A8F" w:rsidP="00737A8F">
      <w:pPr>
        <w:pStyle w:val="Caption"/>
        <w:jc w:val="both"/>
      </w:pPr>
      <w:bookmarkStart w:id="85" w:name="_Ref83895318"/>
      <w:bookmarkStart w:id="86" w:name="_Toc187234666"/>
      <w:r>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6</w:t>
      </w:r>
      <w:r w:rsidR="00F262E6">
        <w:fldChar w:fldCharType="end"/>
      </w:r>
      <w:bookmarkEnd w:id="85"/>
      <w:r>
        <w:t>. Historical Forecasted Weather Normal Peak Loads</w:t>
      </w:r>
      <w:bookmarkEnd w:id="86"/>
    </w:p>
    <w:p w14:paraId="7AF5AE29" w14:textId="77777777" w:rsidR="001D6040" w:rsidRDefault="001D6040" w:rsidP="00DB641B"/>
    <w:p w14:paraId="7CD7DA21" w14:textId="33C8A908" w:rsidR="004B49A6" w:rsidRPr="00421157" w:rsidRDefault="004B49A6" w:rsidP="00A76839">
      <w:pPr>
        <w:pStyle w:val="Heading2"/>
        <w:numPr>
          <w:ilvl w:val="1"/>
          <w:numId w:val="13"/>
        </w:numPr>
        <w:ind w:left="360"/>
      </w:pPr>
      <w:bookmarkStart w:id="87" w:name="_Toc513710331"/>
      <w:bookmarkStart w:id="88" w:name="_Toc187234592"/>
      <w:bookmarkStart w:id="89" w:name="_Hlk87270770"/>
      <w:r w:rsidRPr="00DB641B">
        <w:t>Load Forecast Uncertainty</w:t>
      </w:r>
      <w:bookmarkEnd w:id="87"/>
      <w:bookmarkEnd w:id="88"/>
    </w:p>
    <w:p w14:paraId="7FD82E27" w14:textId="369DA1DF" w:rsidR="004B49A6" w:rsidRDefault="004B49A6" w:rsidP="00F77FF1">
      <w:pPr>
        <w:rPr>
          <w:szCs w:val="24"/>
        </w:rPr>
      </w:pPr>
      <w:r w:rsidRPr="00B138F0">
        <w:rPr>
          <w:szCs w:val="24"/>
        </w:rPr>
        <w:t xml:space="preserve">In addition to </w:t>
      </w:r>
      <w:r w:rsidRPr="00372AC4">
        <w:rPr>
          <w:szCs w:val="24"/>
        </w:rPr>
        <w:t xml:space="preserve">variation from normal weather, </w:t>
      </w:r>
      <w:r w:rsidR="003A2F26">
        <w:rPr>
          <w:szCs w:val="24"/>
        </w:rPr>
        <w:t xml:space="preserve">there are other sources of forecast </w:t>
      </w:r>
      <w:r w:rsidR="005964D4">
        <w:rPr>
          <w:szCs w:val="24"/>
        </w:rPr>
        <w:t>uncertainty</w:t>
      </w:r>
      <w:r w:rsidRPr="00372AC4">
        <w:rPr>
          <w:szCs w:val="24"/>
        </w:rPr>
        <w:t xml:space="preserve"> in the</w:t>
      </w:r>
      <w:r>
        <w:rPr>
          <w:szCs w:val="24"/>
        </w:rPr>
        <w:t xml:space="preserve"> peak</w:t>
      </w:r>
      <w:r w:rsidRPr="00372AC4">
        <w:rPr>
          <w:szCs w:val="24"/>
        </w:rPr>
        <w:t xml:space="preserve"> load projections </w:t>
      </w:r>
      <w:r>
        <w:rPr>
          <w:szCs w:val="24"/>
        </w:rPr>
        <w:t xml:space="preserve">when looking several years </w:t>
      </w:r>
      <w:r w:rsidRPr="00372AC4">
        <w:rPr>
          <w:szCs w:val="24"/>
        </w:rPr>
        <w:t>into the future. Unexpected strength or weakness in the</w:t>
      </w:r>
      <w:r w:rsidR="00820E2C">
        <w:rPr>
          <w:szCs w:val="24"/>
        </w:rPr>
        <w:t xml:space="preserve"> overall</w:t>
      </w:r>
      <w:r w:rsidRPr="00372AC4">
        <w:rPr>
          <w:szCs w:val="24"/>
        </w:rPr>
        <w:t xml:space="preserve"> economy </w:t>
      </w:r>
      <w:r>
        <w:rPr>
          <w:szCs w:val="24"/>
        </w:rPr>
        <w:t xml:space="preserve">is </w:t>
      </w:r>
      <w:r w:rsidRPr="00372AC4">
        <w:rPr>
          <w:szCs w:val="24"/>
        </w:rPr>
        <w:t xml:space="preserve">a </w:t>
      </w:r>
      <w:r>
        <w:rPr>
          <w:szCs w:val="24"/>
        </w:rPr>
        <w:t xml:space="preserve">primary </w:t>
      </w:r>
      <w:r w:rsidRPr="00372AC4">
        <w:rPr>
          <w:szCs w:val="24"/>
        </w:rPr>
        <w:t xml:space="preserve">source of </w:t>
      </w:r>
      <w:r>
        <w:rPr>
          <w:szCs w:val="24"/>
        </w:rPr>
        <w:t>this</w:t>
      </w:r>
      <w:r w:rsidR="00820E2C">
        <w:rPr>
          <w:szCs w:val="24"/>
        </w:rPr>
        <w:t xml:space="preserve"> uncertainty</w:t>
      </w:r>
      <w:r w:rsidR="00A76839">
        <w:rPr>
          <w:szCs w:val="24"/>
        </w:rPr>
        <w:t>,</w:t>
      </w:r>
      <w:r w:rsidR="00820E2C">
        <w:rPr>
          <w:szCs w:val="24"/>
        </w:rPr>
        <w:t xml:space="preserve"> or</w:t>
      </w:r>
      <w:r>
        <w:rPr>
          <w:szCs w:val="24"/>
        </w:rPr>
        <w:t xml:space="preserve"> </w:t>
      </w:r>
      <w:r w:rsidRPr="00372AC4">
        <w:rPr>
          <w:szCs w:val="24"/>
        </w:rPr>
        <w:t>LFE</w:t>
      </w:r>
      <w:r w:rsidR="00A76839">
        <w:rPr>
          <w:szCs w:val="24"/>
        </w:rPr>
        <w:t>,</w:t>
      </w:r>
      <w:r w:rsidRPr="00372AC4">
        <w:rPr>
          <w:szCs w:val="24"/>
        </w:rPr>
        <w:t xml:space="preserve"> </w:t>
      </w:r>
      <w:r w:rsidR="00B5336C">
        <w:rPr>
          <w:szCs w:val="24"/>
        </w:rPr>
        <w:t>and</w:t>
      </w:r>
      <w:r w:rsidR="005964D4" w:rsidRPr="005964D4">
        <w:t xml:space="preserve"> the regression and simulation models used to estimate loads have unavoidable inherent error</w:t>
      </w:r>
      <w:r w:rsidR="00B5336C">
        <w:t xml:space="preserve"> as well</w:t>
      </w:r>
      <w:r w:rsidR="005964D4" w:rsidRPr="005964D4">
        <w:t xml:space="preserve">. </w:t>
      </w:r>
      <w:r w:rsidR="00612BF1">
        <w:t xml:space="preserve">While attempts are made to capture the largest sources of uncertainty, </w:t>
      </w:r>
      <w:r w:rsidR="005003F9">
        <w:t>not all uncertainty is</w:t>
      </w:r>
      <w:r w:rsidR="005964D4" w:rsidRPr="005964D4">
        <w:t xml:space="preserve"> capture</w:t>
      </w:r>
      <w:r w:rsidR="005003F9">
        <w:t>d</w:t>
      </w:r>
      <w:r w:rsidR="005964D4" w:rsidRPr="005964D4">
        <w:t xml:space="preserve"> in the estimation. This</w:t>
      </w:r>
      <w:r w:rsidR="00B5336C">
        <w:t xml:space="preserve"> combined</w:t>
      </w:r>
      <w:r w:rsidR="005964D4" w:rsidRPr="005964D4">
        <w:t xml:space="preserve"> </w:t>
      </w:r>
      <w:r w:rsidR="00B5336C">
        <w:t>economic</w:t>
      </w:r>
      <w:r w:rsidR="00912EA8">
        <w:t xml:space="preserve"> input</w:t>
      </w:r>
      <w:r w:rsidR="00B5336C">
        <w:t xml:space="preserve"> and load forecast </w:t>
      </w:r>
      <w:r w:rsidR="005964D4" w:rsidRPr="005964D4">
        <w:t>modeling error is expressed as the model margin of error.</w:t>
      </w:r>
    </w:p>
    <w:p w14:paraId="4C4F6AA4" w14:textId="77777777" w:rsidR="00B5336C" w:rsidRDefault="00B5336C" w:rsidP="00F77FF1">
      <w:pPr>
        <w:rPr>
          <w:szCs w:val="24"/>
        </w:rPr>
      </w:pPr>
    </w:p>
    <w:p w14:paraId="29A47E8F" w14:textId="025D7003" w:rsidR="00785906" w:rsidRDefault="004B49A6" w:rsidP="00F77FF1">
      <w:r w:rsidRPr="72252BFC">
        <w:t xml:space="preserve">The LFE </w:t>
      </w:r>
      <w:r w:rsidR="00A20C74" w:rsidRPr="72252BFC">
        <w:t>methodology</w:t>
      </w:r>
      <w:r w:rsidRPr="72252BFC">
        <w:t xml:space="preserve"> used in the 20</w:t>
      </w:r>
      <w:r w:rsidR="00C36B54" w:rsidRPr="72252BFC">
        <w:t>2</w:t>
      </w:r>
      <w:r w:rsidR="00B5336C" w:rsidRPr="72252BFC">
        <w:t>4</w:t>
      </w:r>
      <w:r w:rsidRPr="72252BFC">
        <w:t xml:space="preserve"> Reserve Margin Study w</w:t>
      </w:r>
      <w:r w:rsidR="00A20C74" w:rsidRPr="72252BFC">
        <w:t>as</w:t>
      </w:r>
      <w:r w:rsidRPr="72252BFC">
        <w:t xml:space="preserve"> updated in the </w:t>
      </w:r>
      <w:r w:rsidR="00C36B54" w:rsidRPr="72252BFC">
        <w:t>spring</w:t>
      </w:r>
      <w:r w:rsidRPr="72252BFC">
        <w:t xml:space="preserve"> of 20</w:t>
      </w:r>
      <w:r w:rsidR="00C36B54" w:rsidRPr="72252BFC">
        <w:t>2</w:t>
      </w:r>
      <w:r w:rsidR="00B5336C" w:rsidRPr="72252BFC">
        <w:t>4</w:t>
      </w:r>
      <w:r>
        <w:rPr>
          <w:szCs w:val="24"/>
        </w:rPr>
        <w:t>.</w:t>
      </w:r>
      <w:r w:rsidR="00A20C74">
        <w:rPr>
          <w:szCs w:val="24"/>
        </w:rPr>
        <w:t xml:space="preserve"> </w:t>
      </w:r>
      <w:r w:rsidRPr="72252BFC">
        <w:t>L</w:t>
      </w:r>
      <w:r w:rsidR="00E7684F">
        <w:t>FE</w:t>
      </w:r>
      <w:r w:rsidRPr="72252BFC">
        <w:t xml:space="preserve"> four years into the future was estimated using </w:t>
      </w:r>
      <w:r w:rsidR="00C70B54" w:rsidRPr="72252BFC">
        <w:t>a combination of model error and economic input</w:t>
      </w:r>
      <w:r w:rsidR="005A7F80">
        <w:t xml:space="preserve"> uncertainty.</w:t>
      </w:r>
      <w:r w:rsidR="00C70B54" w:rsidRPr="72252BFC">
        <w:t xml:space="preserve"> </w:t>
      </w:r>
      <w:r w:rsidR="00785906" w:rsidRPr="72252BFC">
        <w:t xml:space="preserve">The model error is based </w:t>
      </w:r>
      <w:r w:rsidR="00FF6E81" w:rsidRPr="72252BFC">
        <w:t xml:space="preserve">on </w:t>
      </w:r>
      <w:r w:rsidR="00785906" w:rsidRPr="72252BFC">
        <w:t>in-sample percent error between actual</w:t>
      </w:r>
      <w:r w:rsidR="00FF6E81">
        <w:rPr>
          <w:szCs w:val="24"/>
        </w:rPr>
        <w:t xml:space="preserve">, </w:t>
      </w:r>
      <w:r w:rsidR="00FF6E81" w:rsidRPr="72252BFC">
        <w:t>historical</w:t>
      </w:r>
      <w:r w:rsidR="00785906">
        <w:rPr>
          <w:szCs w:val="24"/>
        </w:rPr>
        <w:t xml:space="preserve"> </w:t>
      </w:r>
      <w:r w:rsidR="3A6C589F">
        <w:rPr>
          <w:szCs w:val="24"/>
        </w:rPr>
        <w:t>S</w:t>
      </w:r>
      <w:r w:rsidR="00785906" w:rsidRPr="72252BFC">
        <w:t>ystem load and model fitted load. Errors were sorted and organized into three bins, with each bin represented by the average and a probability according to the data points contained within.</w:t>
      </w:r>
      <w:r w:rsidR="00912EA8" w:rsidRPr="72252BFC">
        <w:t xml:space="preserve"> Economic input </w:t>
      </w:r>
      <w:r w:rsidR="005A7F80">
        <w:t>uncertainty</w:t>
      </w:r>
      <w:r w:rsidR="00FF6E81" w:rsidRPr="72252BFC">
        <w:t xml:space="preserve"> was derived from the EIA’s 2023 Annual Energy Outlook by calculating the percent difference between the high and low economic scenarios with respect to the reference case. Residential, commercial, and industrial differences were combined using </w:t>
      </w:r>
      <w:r w:rsidR="33B9A534" w:rsidRPr="72252BFC">
        <w:t>S</w:t>
      </w:r>
      <w:r w:rsidR="00FF6E81" w:rsidRPr="72252BFC">
        <w:t>ystem class weights.</w:t>
      </w:r>
      <w:r w:rsidR="00A20C74" w:rsidRPr="72252BFC">
        <w:t xml:space="preserve"> The economic input </w:t>
      </w:r>
      <w:r w:rsidR="005A7F80">
        <w:t>uncertainty</w:t>
      </w:r>
      <w:r w:rsidR="00A20C74" w:rsidRPr="72252BFC">
        <w:t xml:space="preserve"> does not represent </w:t>
      </w:r>
      <w:r w:rsidR="00820E2C" w:rsidRPr="72252BFC">
        <w:t>System project</w:t>
      </w:r>
      <w:r w:rsidR="00A20C74" w:rsidRPr="72252BFC">
        <w:t xml:space="preserve"> development or customer choice uncertainty.</w:t>
      </w:r>
      <w:r w:rsidR="00FF6E81">
        <w:rPr>
          <w:szCs w:val="24"/>
        </w:rPr>
        <w:t xml:space="preserve"> </w:t>
      </w:r>
      <w:r w:rsidR="00FF6E81">
        <w:rPr>
          <w:szCs w:val="24"/>
        </w:rPr>
        <w:fldChar w:fldCharType="begin"/>
      </w:r>
      <w:r w:rsidR="00FF6E81">
        <w:rPr>
          <w:szCs w:val="24"/>
        </w:rPr>
        <w:instrText xml:space="preserve"> REF _Ref165293744 \h </w:instrText>
      </w:r>
      <w:r w:rsidR="00FF6E81">
        <w:rPr>
          <w:szCs w:val="24"/>
        </w:rPr>
      </w:r>
      <w:r w:rsidR="00FF6E81">
        <w:rPr>
          <w:szCs w:val="24"/>
        </w:rPr>
        <w:fldChar w:fldCharType="separate"/>
      </w:r>
      <w:r w:rsidR="00FF6E81">
        <w:t xml:space="preserve">Table </w:t>
      </w:r>
      <w:r w:rsidR="00FF6E81">
        <w:rPr>
          <w:noProof/>
        </w:rPr>
        <w:t>I</w:t>
      </w:r>
      <w:r w:rsidR="00FF6E81">
        <w:noBreakHyphen/>
      </w:r>
      <w:r w:rsidR="00FF6E81">
        <w:rPr>
          <w:noProof/>
        </w:rPr>
        <w:t>3</w:t>
      </w:r>
      <w:r w:rsidR="00FF6E81">
        <w:rPr>
          <w:szCs w:val="24"/>
        </w:rPr>
        <w:fldChar w:fldCharType="end"/>
      </w:r>
      <w:r w:rsidR="00FF6E81" w:rsidRPr="72252BFC">
        <w:t xml:space="preserve"> lists the</w:t>
      </w:r>
      <w:r w:rsidR="00546F4F" w:rsidRPr="72252BFC">
        <w:t xml:space="preserve"> percent</w:t>
      </w:r>
      <w:r w:rsidR="00FF6E81" w:rsidRPr="72252BFC">
        <w:t xml:space="preserve"> errors and associated probabilities for each </w:t>
      </w:r>
      <w:r w:rsidR="00546F4F" w:rsidRPr="72252BFC">
        <w:t>uncertainty</w:t>
      </w:r>
      <w:r w:rsidR="00FF6E81" w:rsidRPr="72252BFC">
        <w:t xml:space="preserve"> group.</w:t>
      </w:r>
    </w:p>
    <w:p w14:paraId="13EEE873" w14:textId="77777777" w:rsidR="00546F4F" w:rsidRDefault="00546F4F" w:rsidP="00912EA8">
      <w:pPr>
        <w:pStyle w:val="Caption"/>
        <w:keepNext/>
      </w:pPr>
      <w:bookmarkStart w:id="90" w:name="_Ref165293744"/>
    </w:p>
    <w:p w14:paraId="20846CBA" w14:textId="00A239BC" w:rsidR="00912EA8" w:rsidRDefault="00912EA8" w:rsidP="00912EA8">
      <w:pPr>
        <w:pStyle w:val="Caption"/>
        <w:keepNext/>
      </w:pPr>
      <w:bookmarkStart w:id="91" w:name="_Toc187234638"/>
      <w:r>
        <w:t xml:space="preserve">Table </w:t>
      </w:r>
      <w:r>
        <w:fldChar w:fldCharType="begin"/>
      </w:r>
      <w:r>
        <w:instrText xml:space="preserve"> STYLEREF 1 \s </w:instrText>
      </w:r>
      <w:r>
        <w:fldChar w:fldCharType="separate"/>
      </w:r>
      <w:r>
        <w:rPr>
          <w:noProof/>
        </w:rPr>
        <w:t>I</w:t>
      </w:r>
      <w:r>
        <w:rPr>
          <w:noProof/>
        </w:rPr>
        <w:fldChar w:fldCharType="end"/>
      </w:r>
      <w:r>
        <w:noBreakHyphen/>
      </w:r>
      <w:r>
        <w:fldChar w:fldCharType="begin"/>
      </w:r>
      <w:r>
        <w:instrText xml:space="preserve"> SEQ Table \* ARABIC \s 1 </w:instrText>
      </w:r>
      <w:r>
        <w:fldChar w:fldCharType="separate"/>
      </w:r>
      <w:r>
        <w:rPr>
          <w:noProof/>
        </w:rPr>
        <w:t>3</w:t>
      </w:r>
      <w:r>
        <w:rPr>
          <w:noProof/>
        </w:rPr>
        <w:fldChar w:fldCharType="end"/>
      </w:r>
      <w:bookmarkEnd w:id="90"/>
      <w:r>
        <w:t>. Model and Economic Input Bins</w:t>
      </w:r>
      <w:bookmarkEnd w:id="91"/>
    </w:p>
    <w:tbl>
      <w:tblPr>
        <w:tblW w:w="4640" w:type="dxa"/>
        <w:jc w:val="center"/>
        <w:tblLook w:val="04A0" w:firstRow="1" w:lastRow="0" w:firstColumn="1" w:lastColumn="0" w:noHBand="0" w:noVBand="1"/>
      </w:tblPr>
      <w:tblGrid>
        <w:gridCol w:w="1511"/>
        <w:gridCol w:w="1043"/>
        <w:gridCol w:w="1043"/>
        <w:gridCol w:w="1043"/>
      </w:tblGrid>
      <w:tr w:rsidR="00175EEE" w:rsidRPr="00175EEE" w14:paraId="573770BC" w14:textId="77777777" w:rsidTr="00FD55A8">
        <w:trPr>
          <w:trHeight w:val="315"/>
          <w:jc w:val="center"/>
        </w:trPr>
        <w:tc>
          <w:tcPr>
            <w:tcW w:w="4640" w:type="dxa"/>
            <w:gridSpan w:val="4"/>
            <w:tcBorders>
              <w:top w:val="single" w:sz="8" w:space="0" w:color="auto"/>
              <w:left w:val="single" w:sz="8" w:space="0" w:color="auto"/>
              <w:bottom w:val="single" w:sz="4" w:space="0" w:color="auto"/>
              <w:right w:val="single" w:sz="8" w:space="0" w:color="000000"/>
            </w:tcBorders>
            <w:shd w:val="clear" w:color="auto" w:fill="auto"/>
            <w:noWrap/>
            <w:vAlign w:val="bottom"/>
            <w:hideMark/>
          </w:tcPr>
          <w:p w14:paraId="0FB2BE33" w14:textId="77777777" w:rsidR="00175EEE" w:rsidRPr="00175EEE" w:rsidRDefault="00175EEE" w:rsidP="00175EEE">
            <w:pPr>
              <w:spacing w:line="240" w:lineRule="auto"/>
              <w:jc w:val="center"/>
              <w:rPr>
                <w:rFonts w:ascii="Calibri" w:hAnsi="Calibri" w:cs="Calibri"/>
                <w:color w:val="000000"/>
                <w:sz w:val="22"/>
                <w:szCs w:val="22"/>
              </w:rPr>
            </w:pPr>
            <w:r w:rsidRPr="00175EEE">
              <w:rPr>
                <w:rFonts w:ascii="Calibri" w:hAnsi="Calibri" w:cs="Calibri"/>
                <w:color w:val="000000"/>
                <w:sz w:val="22"/>
                <w:szCs w:val="22"/>
              </w:rPr>
              <w:t>Model Error</w:t>
            </w:r>
          </w:p>
        </w:tc>
      </w:tr>
      <w:tr w:rsidR="00175EEE" w:rsidRPr="00175EEE" w14:paraId="1E320E8B" w14:textId="77777777" w:rsidTr="00FD55A8">
        <w:trPr>
          <w:trHeight w:val="300"/>
          <w:jc w:val="center"/>
        </w:trPr>
        <w:tc>
          <w:tcPr>
            <w:tcW w:w="1511" w:type="dxa"/>
            <w:tcBorders>
              <w:top w:val="nil"/>
              <w:left w:val="single" w:sz="8" w:space="0" w:color="auto"/>
              <w:bottom w:val="single" w:sz="4" w:space="0" w:color="auto"/>
              <w:right w:val="single" w:sz="4" w:space="0" w:color="auto"/>
            </w:tcBorders>
            <w:shd w:val="clear" w:color="auto" w:fill="auto"/>
            <w:noWrap/>
            <w:vAlign w:val="bottom"/>
            <w:hideMark/>
          </w:tcPr>
          <w:p w14:paraId="04ECBDB5" w14:textId="77777777" w:rsidR="00175EEE" w:rsidRPr="00175EEE" w:rsidRDefault="00175EEE" w:rsidP="00175EEE">
            <w:pPr>
              <w:spacing w:line="240" w:lineRule="auto"/>
              <w:jc w:val="left"/>
              <w:rPr>
                <w:rFonts w:ascii="Calibri" w:hAnsi="Calibri" w:cs="Calibri"/>
                <w:color w:val="000000"/>
                <w:sz w:val="22"/>
                <w:szCs w:val="22"/>
              </w:rPr>
            </w:pPr>
            <w:r w:rsidRPr="00175EEE">
              <w:rPr>
                <w:rFonts w:ascii="Calibri" w:hAnsi="Calibri" w:cs="Calibri"/>
                <w:color w:val="000000"/>
                <w:sz w:val="22"/>
                <w:szCs w:val="22"/>
              </w:rPr>
              <w:t>Error %</w:t>
            </w:r>
          </w:p>
        </w:tc>
        <w:tc>
          <w:tcPr>
            <w:tcW w:w="1043" w:type="dxa"/>
            <w:tcBorders>
              <w:top w:val="nil"/>
              <w:left w:val="nil"/>
              <w:bottom w:val="single" w:sz="4" w:space="0" w:color="auto"/>
              <w:right w:val="single" w:sz="4" w:space="0" w:color="auto"/>
            </w:tcBorders>
            <w:shd w:val="clear" w:color="auto" w:fill="auto"/>
            <w:noWrap/>
            <w:vAlign w:val="bottom"/>
            <w:hideMark/>
          </w:tcPr>
          <w:p w14:paraId="09368154" w14:textId="77777777" w:rsidR="00175EEE" w:rsidRPr="00175EEE" w:rsidRDefault="00175EEE" w:rsidP="00175EEE">
            <w:pPr>
              <w:spacing w:line="240" w:lineRule="auto"/>
              <w:jc w:val="right"/>
              <w:rPr>
                <w:rFonts w:ascii="Calibri" w:hAnsi="Calibri" w:cs="Calibri"/>
                <w:color w:val="000000"/>
                <w:sz w:val="22"/>
                <w:szCs w:val="22"/>
              </w:rPr>
            </w:pPr>
            <w:r w:rsidRPr="00175EEE">
              <w:rPr>
                <w:rFonts w:ascii="Calibri" w:hAnsi="Calibri" w:cs="Calibri"/>
                <w:color w:val="000000"/>
                <w:sz w:val="22"/>
                <w:szCs w:val="22"/>
              </w:rPr>
              <w:t>-3.74%</w:t>
            </w:r>
          </w:p>
        </w:tc>
        <w:tc>
          <w:tcPr>
            <w:tcW w:w="1043" w:type="dxa"/>
            <w:tcBorders>
              <w:top w:val="nil"/>
              <w:left w:val="nil"/>
              <w:bottom w:val="single" w:sz="4" w:space="0" w:color="auto"/>
              <w:right w:val="single" w:sz="4" w:space="0" w:color="auto"/>
            </w:tcBorders>
            <w:shd w:val="clear" w:color="auto" w:fill="auto"/>
            <w:noWrap/>
            <w:vAlign w:val="bottom"/>
            <w:hideMark/>
          </w:tcPr>
          <w:p w14:paraId="0B0C2C51" w14:textId="77777777" w:rsidR="00175EEE" w:rsidRPr="00175EEE" w:rsidRDefault="00175EEE" w:rsidP="00175EEE">
            <w:pPr>
              <w:spacing w:line="240" w:lineRule="auto"/>
              <w:jc w:val="right"/>
              <w:rPr>
                <w:rFonts w:ascii="Calibri" w:hAnsi="Calibri" w:cs="Calibri"/>
                <w:color w:val="000000"/>
                <w:sz w:val="22"/>
                <w:szCs w:val="22"/>
              </w:rPr>
            </w:pPr>
            <w:r w:rsidRPr="00175EEE">
              <w:rPr>
                <w:rFonts w:ascii="Calibri" w:hAnsi="Calibri" w:cs="Calibri"/>
                <w:color w:val="000000"/>
                <w:sz w:val="22"/>
                <w:szCs w:val="22"/>
              </w:rPr>
              <w:t>0.00%</w:t>
            </w:r>
          </w:p>
        </w:tc>
        <w:tc>
          <w:tcPr>
            <w:tcW w:w="1043" w:type="dxa"/>
            <w:tcBorders>
              <w:top w:val="nil"/>
              <w:left w:val="nil"/>
              <w:bottom w:val="single" w:sz="4" w:space="0" w:color="auto"/>
              <w:right w:val="single" w:sz="8" w:space="0" w:color="auto"/>
            </w:tcBorders>
            <w:shd w:val="clear" w:color="auto" w:fill="auto"/>
            <w:noWrap/>
            <w:vAlign w:val="bottom"/>
            <w:hideMark/>
          </w:tcPr>
          <w:p w14:paraId="6D0CC6C3" w14:textId="77777777" w:rsidR="00175EEE" w:rsidRPr="00175EEE" w:rsidRDefault="00175EEE" w:rsidP="00175EEE">
            <w:pPr>
              <w:spacing w:line="240" w:lineRule="auto"/>
              <w:jc w:val="right"/>
              <w:rPr>
                <w:rFonts w:ascii="Calibri" w:hAnsi="Calibri" w:cs="Calibri"/>
                <w:color w:val="000000"/>
                <w:sz w:val="22"/>
                <w:szCs w:val="22"/>
              </w:rPr>
            </w:pPr>
            <w:r w:rsidRPr="00175EEE">
              <w:rPr>
                <w:rFonts w:ascii="Calibri" w:hAnsi="Calibri" w:cs="Calibri"/>
                <w:color w:val="000000"/>
                <w:sz w:val="22"/>
                <w:szCs w:val="22"/>
              </w:rPr>
              <w:t>3.74%</w:t>
            </w:r>
          </w:p>
        </w:tc>
      </w:tr>
      <w:tr w:rsidR="00175EEE" w:rsidRPr="00175EEE" w14:paraId="0209F3EF" w14:textId="77777777" w:rsidTr="00FD55A8">
        <w:trPr>
          <w:trHeight w:val="300"/>
          <w:jc w:val="center"/>
        </w:trPr>
        <w:tc>
          <w:tcPr>
            <w:tcW w:w="1511" w:type="dxa"/>
            <w:tcBorders>
              <w:top w:val="nil"/>
              <w:left w:val="single" w:sz="8" w:space="0" w:color="auto"/>
              <w:bottom w:val="single" w:sz="4" w:space="0" w:color="auto"/>
              <w:right w:val="single" w:sz="4" w:space="0" w:color="auto"/>
            </w:tcBorders>
            <w:shd w:val="clear" w:color="auto" w:fill="auto"/>
            <w:noWrap/>
            <w:vAlign w:val="bottom"/>
            <w:hideMark/>
          </w:tcPr>
          <w:p w14:paraId="0164ACF6" w14:textId="77777777" w:rsidR="00175EEE" w:rsidRPr="00175EEE" w:rsidRDefault="00175EEE" w:rsidP="00175EEE">
            <w:pPr>
              <w:spacing w:line="240" w:lineRule="auto"/>
              <w:jc w:val="left"/>
              <w:rPr>
                <w:rFonts w:ascii="Calibri" w:hAnsi="Calibri" w:cs="Calibri"/>
                <w:color w:val="000000"/>
                <w:sz w:val="22"/>
                <w:szCs w:val="22"/>
              </w:rPr>
            </w:pPr>
            <w:r w:rsidRPr="00175EEE">
              <w:rPr>
                <w:rFonts w:ascii="Calibri" w:hAnsi="Calibri" w:cs="Calibri"/>
                <w:color w:val="000000"/>
                <w:sz w:val="22"/>
                <w:szCs w:val="22"/>
              </w:rPr>
              <w:t>Probability</w:t>
            </w:r>
          </w:p>
        </w:tc>
        <w:tc>
          <w:tcPr>
            <w:tcW w:w="1043" w:type="dxa"/>
            <w:tcBorders>
              <w:top w:val="nil"/>
              <w:left w:val="nil"/>
              <w:bottom w:val="single" w:sz="4" w:space="0" w:color="auto"/>
              <w:right w:val="single" w:sz="4" w:space="0" w:color="auto"/>
            </w:tcBorders>
            <w:shd w:val="clear" w:color="auto" w:fill="auto"/>
            <w:noWrap/>
            <w:vAlign w:val="bottom"/>
            <w:hideMark/>
          </w:tcPr>
          <w:p w14:paraId="0E4C1144" w14:textId="77777777" w:rsidR="00175EEE" w:rsidRPr="00175EEE" w:rsidRDefault="00175EEE" w:rsidP="00175EEE">
            <w:pPr>
              <w:spacing w:line="240" w:lineRule="auto"/>
              <w:jc w:val="right"/>
              <w:rPr>
                <w:rFonts w:ascii="Calibri" w:hAnsi="Calibri" w:cs="Calibri"/>
                <w:color w:val="000000"/>
                <w:sz w:val="22"/>
                <w:szCs w:val="22"/>
              </w:rPr>
            </w:pPr>
            <w:r w:rsidRPr="00175EEE">
              <w:rPr>
                <w:rFonts w:ascii="Calibri" w:hAnsi="Calibri" w:cs="Calibri"/>
                <w:color w:val="000000"/>
                <w:sz w:val="22"/>
                <w:szCs w:val="22"/>
              </w:rPr>
              <w:t>33.3%</w:t>
            </w:r>
          </w:p>
        </w:tc>
        <w:tc>
          <w:tcPr>
            <w:tcW w:w="1043" w:type="dxa"/>
            <w:tcBorders>
              <w:top w:val="nil"/>
              <w:left w:val="nil"/>
              <w:bottom w:val="single" w:sz="4" w:space="0" w:color="auto"/>
              <w:right w:val="single" w:sz="4" w:space="0" w:color="auto"/>
            </w:tcBorders>
            <w:shd w:val="clear" w:color="auto" w:fill="auto"/>
            <w:noWrap/>
            <w:vAlign w:val="bottom"/>
            <w:hideMark/>
          </w:tcPr>
          <w:p w14:paraId="173F2484" w14:textId="77777777" w:rsidR="00175EEE" w:rsidRPr="00175EEE" w:rsidRDefault="00175EEE" w:rsidP="00175EEE">
            <w:pPr>
              <w:spacing w:line="240" w:lineRule="auto"/>
              <w:jc w:val="right"/>
              <w:rPr>
                <w:rFonts w:ascii="Calibri" w:hAnsi="Calibri" w:cs="Calibri"/>
                <w:color w:val="000000"/>
                <w:sz w:val="22"/>
                <w:szCs w:val="22"/>
              </w:rPr>
            </w:pPr>
            <w:r w:rsidRPr="00175EEE">
              <w:rPr>
                <w:rFonts w:ascii="Calibri" w:hAnsi="Calibri" w:cs="Calibri"/>
                <w:color w:val="000000"/>
                <w:sz w:val="22"/>
                <w:szCs w:val="22"/>
              </w:rPr>
              <w:t>33.6%</w:t>
            </w:r>
          </w:p>
        </w:tc>
        <w:tc>
          <w:tcPr>
            <w:tcW w:w="1043" w:type="dxa"/>
            <w:tcBorders>
              <w:top w:val="nil"/>
              <w:left w:val="nil"/>
              <w:bottom w:val="single" w:sz="4" w:space="0" w:color="auto"/>
              <w:right w:val="single" w:sz="8" w:space="0" w:color="auto"/>
            </w:tcBorders>
            <w:shd w:val="clear" w:color="auto" w:fill="auto"/>
            <w:noWrap/>
            <w:vAlign w:val="bottom"/>
            <w:hideMark/>
          </w:tcPr>
          <w:p w14:paraId="6C688D84" w14:textId="77777777" w:rsidR="00175EEE" w:rsidRPr="00175EEE" w:rsidRDefault="00175EEE" w:rsidP="00175EEE">
            <w:pPr>
              <w:spacing w:line="240" w:lineRule="auto"/>
              <w:jc w:val="right"/>
              <w:rPr>
                <w:rFonts w:ascii="Calibri" w:hAnsi="Calibri" w:cs="Calibri"/>
                <w:color w:val="000000"/>
                <w:sz w:val="22"/>
                <w:szCs w:val="22"/>
              </w:rPr>
            </w:pPr>
            <w:r w:rsidRPr="00175EEE">
              <w:rPr>
                <w:rFonts w:ascii="Calibri" w:hAnsi="Calibri" w:cs="Calibri"/>
                <w:color w:val="000000"/>
                <w:sz w:val="22"/>
                <w:szCs w:val="22"/>
              </w:rPr>
              <w:t>33.0%</w:t>
            </w:r>
          </w:p>
        </w:tc>
      </w:tr>
      <w:tr w:rsidR="00175EEE" w:rsidRPr="00175EEE" w14:paraId="6FDA4B62" w14:textId="77777777" w:rsidTr="00FD55A8">
        <w:trPr>
          <w:trHeight w:val="300"/>
          <w:jc w:val="center"/>
        </w:trPr>
        <w:tc>
          <w:tcPr>
            <w:tcW w:w="4640" w:type="dxa"/>
            <w:gridSpan w:val="4"/>
            <w:tcBorders>
              <w:top w:val="single" w:sz="4" w:space="0" w:color="auto"/>
              <w:left w:val="single" w:sz="8" w:space="0" w:color="auto"/>
              <w:bottom w:val="single" w:sz="4" w:space="0" w:color="auto"/>
              <w:right w:val="single" w:sz="8" w:space="0" w:color="000000"/>
            </w:tcBorders>
            <w:shd w:val="clear" w:color="auto" w:fill="auto"/>
            <w:noWrap/>
            <w:vAlign w:val="bottom"/>
            <w:hideMark/>
          </w:tcPr>
          <w:p w14:paraId="52DFD424" w14:textId="3A9EFD01" w:rsidR="00175EEE" w:rsidRPr="00175EEE" w:rsidRDefault="00175EEE" w:rsidP="00175EEE">
            <w:pPr>
              <w:spacing w:line="240" w:lineRule="auto"/>
              <w:jc w:val="center"/>
              <w:rPr>
                <w:rFonts w:ascii="Calibri" w:hAnsi="Calibri" w:cs="Calibri"/>
                <w:color w:val="000000"/>
                <w:sz w:val="22"/>
                <w:szCs w:val="22"/>
              </w:rPr>
            </w:pPr>
            <w:r w:rsidRPr="00175EEE">
              <w:rPr>
                <w:rFonts w:ascii="Calibri" w:hAnsi="Calibri" w:cs="Calibri"/>
                <w:color w:val="000000"/>
                <w:sz w:val="22"/>
                <w:szCs w:val="22"/>
              </w:rPr>
              <w:t xml:space="preserve">Economic Input </w:t>
            </w:r>
            <w:r w:rsidR="005A7F80">
              <w:rPr>
                <w:rFonts w:ascii="Calibri" w:hAnsi="Calibri" w:cs="Calibri"/>
                <w:color w:val="000000"/>
                <w:sz w:val="22"/>
                <w:szCs w:val="22"/>
              </w:rPr>
              <w:t>Uncertainty</w:t>
            </w:r>
          </w:p>
        </w:tc>
      </w:tr>
      <w:tr w:rsidR="00175EEE" w:rsidRPr="00175EEE" w14:paraId="48E8F724" w14:textId="77777777" w:rsidTr="00FD55A8">
        <w:trPr>
          <w:trHeight w:val="300"/>
          <w:jc w:val="center"/>
        </w:trPr>
        <w:tc>
          <w:tcPr>
            <w:tcW w:w="1511" w:type="dxa"/>
            <w:tcBorders>
              <w:top w:val="nil"/>
              <w:left w:val="single" w:sz="8" w:space="0" w:color="auto"/>
              <w:bottom w:val="single" w:sz="4" w:space="0" w:color="auto"/>
              <w:right w:val="single" w:sz="4" w:space="0" w:color="auto"/>
            </w:tcBorders>
            <w:shd w:val="clear" w:color="auto" w:fill="auto"/>
            <w:noWrap/>
            <w:vAlign w:val="bottom"/>
            <w:hideMark/>
          </w:tcPr>
          <w:p w14:paraId="248AEB6F" w14:textId="77777777" w:rsidR="00175EEE" w:rsidRPr="00175EEE" w:rsidRDefault="00175EEE" w:rsidP="00175EEE">
            <w:pPr>
              <w:spacing w:line="240" w:lineRule="auto"/>
              <w:jc w:val="left"/>
              <w:rPr>
                <w:rFonts w:ascii="Calibri" w:hAnsi="Calibri" w:cs="Calibri"/>
                <w:color w:val="000000"/>
                <w:sz w:val="22"/>
                <w:szCs w:val="22"/>
              </w:rPr>
            </w:pPr>
            <w:r w:rsidRPr="00175EEE">
              <w:rPr>
                <w:rFonts w:ascii="Calibri" w:hAnsi="Calibri" w:cs="Calibri"/>
                <w:color w:val="000000"/>
                <w:sz w:val="22"/>
                <w:szCs w:val="22"/>
              </w:rPr>
              <w:t>Error %</w:t>
            </w:r>
          </w:p>
        </w:tc>
        <w:tc>
          <w:tcPr>
            <w:tcW w:w="1043" w:type="dxa"/>
            <w:tcBorders>
              <w:top w:val="nil"/>
              <w:left w:val="nil"/>
              <w:bottom w:val="single" w:sz="4" w:space="0" w:color="auto"/>
              <w:right w:val="single" w:sz="4" w:space="0" w:color="auto"/>
            </w:tcBorders>
            <w:shd w:val="clear" w:color="auto" w:fill="auto"/>
            <w:noWrap/>
            <w:vAlign w:val="bottom"/>
            <w:hideMark/>
          </w:tcPr>
          <w:p w14:paraId="0076CC7B" w14:textId="77777777" w:rsidR="00175EEE" w:rsidRPr="00175EEE" w:rsidRDefault="00175EEE" w:rsidP="00175EEE">
            <w:pPr>
              <w:spacing w:line="240" w:lineRule="auto"/>
              <w:jc w:val="right"/>
              <w:rPr>
                <w:rFonts w:ascii="Calibri" w:hAnsi="Calibri" w:cs="Calibri"/>
                <w:color w:val="000000"/>
                <w:sz w:val="22"/>
                <w:szCs w:val="22"/>
              </w:rPr>
            </w:pPr>
            <w:r w:rsidRPr="00175EEE">
              <w:rPr>
                <w:rFonts w:ascii="Calibri" w:hAnsi="Calibri" w:cs="Calibri"/>
                <w:color w:val="000000"/>
                <w:sz w:val="22"/>
                <w:szCs w:val="22"/>
              </w:rPr>
              <w:t>-2.38%</w:t>
            </w:r>
          </w:p>
        </w:tc>
        <w:tc>
          <w:tcPr>
            <w:tcW w:w="1043" w:type="dxa"/>
            <w:tcBorders>
              <w:top w:val="nil"/>
              <w:left w:val="nil"/>
              <w:bottom w:val="single" w:sz="4" w:space="0" w:color="auto"/>
              <w:right w:val="single" w:sz="4" w:space="0" w:color="auto"/>
            </w:tcBorders>
            <w:shd w:val="clear" w:color="auto" w:fill="auto"/>
            <w:noWrap/>
            <w:vAlign w:val="bottom"/>
            <w:hideMark/>
          </w:tcPr>
          <w:p w14:paraId="688F4546" w14:textId="77777777" w:rsidR="00175EEE" w:rsidRPr="00175EEE" w:rsidRDefault="00175EEE" w:rsidP="00175EEE">
            <w:pPr>
              <w:spacing w:line="240" w:lineRule="auto"/>
              <w:jc w:val="right"/>
              <w:rPr>
                <w:rFonts w:ascii="Calibri" w:hAnsi="Calibri" w:cs="Calibri"/>
                <w:color w:val="000000"/>
                <w:sz w:val="22"/>
                <w:szCs w:val="22"/>
              </w:rPr>
            </w:pPr>
            <w:r w:rsidRPr="00175EEE">
              <w:rPr>
                <w:rFonts w:ascii="Calibri" w:hAnsi="Calibri" w:cs="Calibri"/>
                <w:color w:val="000000"/>
                <w:sz w:val="22"/>
                <w:szCs w:val="22"/>
              </w:rPr>
              <w:t>0.00%</w:t>
            </w:r>
          </w:p>
        </w:tc>
        <w:tc>
          <w:tcPr>
            <w:tcW w:w="1043" w:type="dxa"/>
            <w:tcBorders>
              <w:top w:val="nil"/>
              <w:left w:val="nil"/>
              <w:bottom w:val="single" w:sz="4" w:space="0" w:color="auto"/>
              <w:right w:val="single" w:sz="8" w:space="0" w:color="auto"/>
            </w:tcBorders>
            <w:shd w:val="clear" w:color="auto" w:fill="auto"/>
            <w:noWrap/>
            <w:vAlign w:val="bottom"/>
            <w:hideMark/>
          </w:tcPr>
          <w:p w14:paraId="5B619048" w14:textId="77777777" w:rsidR="00175EEE" w:rsidRPr="00175EEE" w:rsidRDefault="00175EEE" w:rsidP="00175EEE">
            <w:pPr>
              <w:spacing w:line="240" w:lineRule="auto"/>
              <w:jc w:val="right"/>
              <w:rPr>
                <w:rFonts w:ascii="Calibri" w:hAnsi="Calibri" w:cs="Calibri"/>
                <w:color w:val="000000"/>
                <w:sz w:val="22"/>
                <w:szCs w:val="22"/>
              </w:rPr>
            </w:pPr>
            <w:r w:rsidRPr="00175EEE">
              <w:rPr>
                <w:rFonts w:ascii="Calibri" w:hAnsi="Calibri" w:cs="Calibri"/>
                <w:color w:val="000000"/>
                <w:sz w:val="22"/>
                <w:szCs w:val="22"/>
              </w:rPr>
              <w:t>1.42%</w:t>
            </w:r>
          </w:p>
        </w:tc>
      </w:tr>
      <w:tr w:rsidR="00175EEE" w:rsidRPr="00175EEE" w14:paraId="674E1626" w14:textId="77777777" w:rsidTr="00FD55A8">
        <w:trPr>
          <w:trHeight w:val="315"/>
          <w:jc w:val="center"/>
        </w:trPr>
        <w:tc>
          <w:tcPr>
            <w:tcW w:w="1511" w:type="dxa"/>
            <w:tcBorders>
              <w:top w:val="nil"/>
              <w:left w:val="single" w:sz="8" w:space="0" w:color="auto"/>
              <w:bottom w:val="single" w:sz="8" w:space="0" w:color="auto"/>
              <w:right w:val="single" w:sz="4" w:space="0" w:color="auto"/>
            </w:tcBorders>
            <w:shd w:val="clear" w:color="auto" w:fill="auto"/>
            <w:noWrap/>
            <w:vAlign w:val="bottom"/>
            <w:hideMark/>
          </w:tcPr>
          <w:p w14:paraId="2C5E09E1" w14:textId="77777777" w:rsidR="00175EEE" w:rsidRPr="00175EEE" w:rsidRDefault="00175EEE" w:rsidP="00175EEE">
            <w:pPr>
              <w:spacing w:line="240" w:lineRule="auto"/>
              <w:jc w:val="left"/>
              <w:rPr>
                <w:rFonts w:ascii="Calibri" w:hAnsi="Calibri" w:cs="Calibri"/>
                <w:color w:val="000000"/>
                <w:sz w:val="22"/>
                <w:szCs w:val="22"/>
              </w:rPr>
            </w:pPr>
            <w:r w:rsidRPr="00175EEE">
              <w:rPr>
                <w:rFonts w:ascii="Calibri" w:hAnsi="Calibri" w:cs="Calibri"/>
                <w:color w:val="000000"/>
                <w:sz w:val="22"/>
                <w:szCs w:val="22"/>
              </w:rPr>
              <w:t>Probability</w:t>
            </w:r>
          </w:p>
        </w:tc>
        <w:tc>
          <w:tcPr>
            <w:tcW w:w="1043" w:type="dxa"/>
            <w:tcBorders>
              <w:top w:val="nil"/>
              <w:left w:val="nil"/>
              <w:bottom w:val="single" w:sz="8" w:space="0" w:color="auto"/>
              <w:right w:val="single" w:sz="4" w:space="0" w:color="auto"/>
            </w:tcBorders>
            <w:shd w:val="clear" w:color="auto" w:fill="auto"/>
            <w:noWrap/>
            <w:vAlign w:val="bottom"/>
            <w:hideMark/>
          </w:tcPr>
          <w:p w14:paraId="2EADC27F" w14:textId="77777777" w:rsidR="00175EEE" w:rsidRPr="00175EEE" w:rsidRDefault="00175EEE" w:rsidP="00175EEE">
            <w:pPr>
              <w:spacing w:line="240" w:lineRule="auto"/>
              <w:jc w:val="right"/>
              <w:rPr>
                <w:rFonts w:ascii="Calibri" w:hAnsi="Calibri" w:cs="Calibri"/>
                <w:color w:val="000000"/>
                <w:sz w:val="22"/>
                <w:szCs w:val="22"/>
              </w:rPr>
            </w:pPr>
            <w:r w:rsidRPr="00175EEE">
              <w:rPr>
                <w:rFonts w:ascii="Calibri" w:hAnsi="Calibri" w:cs="Calibri"/>
                <w:color w:val="000000"/>
                <w:sz w:val="22"/>
                <w:szCs w:val="22"/>
              </w:rPr>
              <w:t>33.33%</w:t>
            </w:r>
          </w:p>
        </w:tc>
        <w:tc>
          <w:tcPr>
            <w:tcW w:w="1043" w:type="dxa"/>
            <w:tcBorders>
              <w:top w:val="nil"/>
              <w:left w:val="nil"/>
              <w:bottom w:val="single" w:sz="8" w:space="0" w:color="auto"/>
              <w:right w:val="single" w:sz="4" w:space="0" w:color="auto"/>
            </w:tcBorders>
            <w:shd w:val="clear" w:color="auto" w:fill="auto"/>
            <w:noWrap/>
            <w:vAlign w:val="bottom"/>
            <w:hideMark/>
          </w:tcPr>
          <w:p w14:paraId="5B0B6018" w14:textId="77777777" w:rsidR="00175EEE" w:rsidRPr="00175EEE" w:rsidRDefault="00175EEE" w:rsidP="00175EEE">
            <w:pPr>
              <w:spacing w:line="240" w:lineRule="auto"/>
              <w:jc w:val="right"/>
              <w:rPr>
                <w:rFonts w:ascii="Calibri" w:hAnsi="Calibri" w:cs="Calibri"/>
                <w:color w:val="000000"/>
                <w:sz w:val="22"/>
                <w:szCs w:val="22"/>
              </w:rPr>
            </w:pPr>
            <w:r w:rsidRPr="00175EEE">
              <w:rPr>
                <w:rFonts w:ascii="Calibri" w:hAnsi="Calibri" w:cs="Calibri"/>
                <w:color w:val="000000"/>
                <w:sz w:val="22"/>
                <w:szCs w:val="22"/>
              </w:rPr>
              <w:t>33.33%</w:t>
            </w:r>
          </w:p>
        </w:tc>
        <w:tc>
          <w:tcPr>
            <w:tcW w:w="1043" w:type="dxa"/>
            <w:tcBorders>
              <w:top w:val="nil"/>
              <w:left w:val="nil"/>
              <w:bottom w:val="single" w:sz="8" w:space="0" w:color="auto"/>
              <w:right w:val="single" w:sz="8" w:space="0" w:color="auto"/>
            </w:tcBorders>
            <w:shd w:val="clear" w:color="auto" w:fill="auto"/>
            <w:noWrap/>
            <w:vAlign w:val="bottom"/>
            <w:hideMark/>
          </w:tcPr>
          <w:p w14:paraId="5E727061" w14:textId="77777777" w:rsidR="00175EEE" w:rsidRPr="00175EEE" w:rsidRDefault="00175EEE" w:rsidP="00175EEE">
            <w:pPr>
              <w:spacing w:line="240" w:lineRule="auto"/>
              <w:jc w:val="right"/>
              <w:rPr>
                <w:rFonts w:ascii="Calibri" w:hAnsi="Calibri" w:cs="Calibri"/>
                <w:color w:val="000000"/>
                <w:sz w:val="22"/>
                <w:szCs w:val="22"/>
              </w:rPr>
            </w:pPr>
            <w:r w:rsidRPr="00175EEE">
              <w:rPr>
                <w:rFonts w:ascii="Calibri" w:hAnsi="Calibri" w:cs="Calibri"/>
                <w:color w:val="000000"/>
                <w:sz w:val="22"/>
                <w:szCs w:val="22"/>
              </w:rPr>
              <w:t>33.33%</w:t>
            </w:r>
          </w:p>
        </w:tc>
      </w:tr>
    </w:tbl>
    <w:p w14:paraId="2A380FBC" w14:textId="77777777" w:rsidR="00785906" w:rsidRDefault="00785906" w:rsidP="00F77FF1">
      <w:pPr>
        <w:rPr>
          <w:szCs w:val="24"/>
        </w:rPr>
      </w:pPr>
    </w:p>
    <w:p w14:paraId="343DFFF6" w14:textId="77777777" w:rsidR="005824F3" w:rsidRDefault="005824F3" w:rsidP="00F77FF1">
      <w:pPr>
        <w:rPr>
          <w:szCs w:val="24"/>
        </w:rPr>
      </w:pPr>
    </w:p>
    <w:p w14:paraId="5E27090D" w14:textId="5C25E915" w:rsidR="006C3935" w:rsidRDefault="00820E2C" w:rsidP="00F77FF1">
      <w:pPr>
        <w:rPr>
          <w:szCs w:val="24"/>
        </w:rPr>
      </w:pPr>
      <w:r>
        <w:rPr>
          <w:szCs w:val="24"/>
        </w:rPr>
        <w:t>To determine the final LFE values, t</w:t>
      </w:r>
      <w:r w:rsidR="00546F4F">
        <w:rPr>
          <w:szCs w:val="24"/>
        </w:rPr>
        <w:t>he model</w:t>
      </w:r>
      <w:r w:rsidR="005A7F80">
        <w:rPr>
          <w:szCs w:val="24"/>
        </w:rPr>
        <w:t xml:space="preserve"> errors</w:t>
      </w:r>
      <w:r w:rsidR="00546F4F">
        <w:rPr>
          <w:szCs w:val="24"/>
        </w:rPr>
        <w:t xml:space="preserve"> and economic input </w:t>
      </w:r>
      <w:r w:rsidR="005A7F80">
        <w:rPr>
          <w:szCs w:val="24"/>
        </w:rPr>
        <w:t>uncertainties</w:t>
      </w:r>
      <w:r w:rsidR="00546F4F">
        <w:rPr>
          <w:szCs w:val="24"/>
        </w:rPr>
        <w:t xml:space="preserve"> were </w:t>
      </w:r>
      <w:r w:rsidR="000C7FF7">
        <w:rPr>
          <w:szCs w:val="24"/>
        </w:rPr>
        <w:t>matched</w:t>
      </w:r>
      <w:r w:rsidR="00546F4F">
        <w:rPr>
          <w:szCs w:val="24"/>
        </w:rPr>
        <w:t xml:space="preserve"> together in nine different combinations</w:t>
      </w:r>
      <w:r w:rsidR="00B97317">
        <w:rPr>
          <w:szCs w:val="24"/>
        </w:rPr>
        <w:t xml:space="preserve"> and</w:t>
      </w:r>
      <w:r w:rsidR="00546F4F">
        <w:rPr>
          <w:szCs w:val="24"/>
        </w:rPr>
        <w:t xml:space="preserve"> sorted from smallest to largest based on the sum of the </w:t>
      </w:r>
      <w:r w:rsidR="000C7FF7">
        <w:rPr>
          <w:szCs w:val="24"/>
        </w:rPr>
        <w:t xml:space="preserve">percent </w:t>
      </w:r>
      <w:r w:rsidR="00546F4F">
        <w:rPr>
          <w:szCs w:val="24"/>
        </w:rPr>
        <w:t>errors in each combination.</w:t>
      </w:r>
      <w:r w:rsidR="00B97317">
        <w:rPr>
          <w:szCs w:val="24"/>
        </w:rPr>
        <w:t xml:space="preserve"> The</w:t>
      </w:r>
      <w:r w:rsidR="000C7FF7">
        <w:rPr>
          <w:szCs w:val="24"/>
        </w:rPr>
        <w:t xml:space="preserve"> probability of each LFE combination is the product of the probabilities at each bin location</w:t>
      </w:r>
      <w:r w:rsidR="00B97317">
        <w:rPr>
          <w:szCs w:val="24"/>
        </w:rPr>
        <w:t xml:space="preserve">. </w:t>
      </w:r>
      <w:r w:rsidR="001D0669">
        <w:rPr>
          <w:szCs w:val="24"/>
        </w:rPr>
        <w:t xml:space="preserve">This resulted in a maximum under-forecast error of </w:t>
      </w:r>
      <w:r w:rsidR="00454C89">
        <w:rPr>
          <w:szCs w:val="24"/>
        </w:rPr>
        <w:t>5.16</w:t>
      </w:r>
      <w:r w:rsidR="001D0669">
        <w:rPr>
          <w:szCs w:val="24"/>
        </w:rPr>
        <w:t xml:space="preserve">% (load being </w:t>
      </w:r>
      <w:r w:rsidR="00454C89">
        <w:rPr>
          <w:szCs w:val="24"/>
        </w:rPr>
        <w:t>5.16</w:t>
      </w:r>
      <w:r w:rsidR="001D0669">
        <w:rPr>
          <w:szCs w:val="24"/>
        </w:rPr>
        <w:t xml:space="preserve">% higher than expected) and a maximum over-forecast error of </w:t>
      </w:r>
      <w:r w:rsidR="00175EEE">
        <w:rPr>
          <w:szCs w:val="24"/>
        </w:rPr>
        <w:t>-</w:t>
      </w:r>
      <w:r w:rsidR="00454C89">
        <w:rPr>
          <w:szCs w:val="24"/>
        </w:rPr>
        <w:t>6.12</w:t>
      </w:r>
      <w:r w:rsidR="001D0669">
        <w:rPr>
          <w:szCs w:val="24"/>
        </w:rPr>
        <w:t xml:space="preserve">% (load being </w:t>
      </w:r>
      <w:r w:rsidR="00454C89">
        <w:rPr>
          <w:szCs w:val="24"/>
        </w:rPr>
        <w:t>6.12</w:t>
      </w:r>
      <w:r w:rsidR="001D0669">
        <w:rPr>
          <w:szCs w:val="24"/>
        </w:rPr>
        <w:t xml:space="preserve">% lower than expected). </w:t>
      </w:r>
      <w:r w:rsidR="006C3935">
        <w:rPr>
          <w:szCs w:val="24"/>
        </w:rPr>
        <w:t>By averaging</w:t>
      </w:r>
      <w:r w:rsidR="000C7FF7">
        <w:rPr>
          <w:szCs w:val="24"/>
        </w:rPr>
        <w:t xml:space="preserve"> the sorted combinations together</w:t>
      </w:r>
      <w:r w:rsidR="006C3935">
        <w:rPr>
          <w:szCs w:val="24"/>
        </w:rPr>
        <w:t xml:space="preserve"> in a 1-2-3-2-1 bell curve distribution, the nine LFE points were converted to five LFE points as shown in</w:t>
      </w:r>
      <w:r>
        <w:rPr>
          <w:szCs w:val="24"/>
        </w:rPr>
        <w:t xml:space="preserve"> </w:t>
      </w:r>
      <w:r>
        <w:rPr>
          <w:szCs w:val="24"/>
        </w:rPr>
        <w:fldChar w:fldCharType="begin"/>
      </w:r>
      <w:r>
        <w:rPr>
          <w:szCs w:val="24"/>
        </w:rPr>
        <w:instrText xml:space="preserve"> REF _Ref513785089 \h </w:instrText>
      </w:r>
      <w:r>
        <w:rPr>
          <w:szCs w:val="24"/>
        </w:rPr>
      </w:r>
      <w:r>
        <w:rPr>
          <w:szCs w:val="24"/>
        </w:rPr>
        <w:fldChar w:fldCharType="separate"/>
      </w:r>
      <w:r>
        <w:t xml:space="preserve">Table </w:t>
      </w:r>
      <w:r>
        <w:rPr>
          <w:noProof/>
        </w:rPr>
        <w:t>I</w:t>
      </w:r>
      <w:r>
        <w:noBreakHyphen/>
      </w:r>
      <w:r>
        <w:rPr>
          <w:noProof/>
        </w:rPr>
        <w:t>4</w:t>
      </w:r>
      <w:r>
        <w:rPr>
          <w:szCs w:val="24"/>
        </w:rPr>
        <w:fldChar w:fldCharType="end"/>
      </w:r>
      <w:r w:rsidR="006C3935">
        <w:rPr>
          <w:szCs w:val="24"/>
        </w:rPr>
        <w:t xml:space="preserve">. </w:t>
      </w:r>
      <w:r w:rsidR="001D0669">
        <w:rPr>
          <w:szCs w:val="24"/>
        </w:rPr>
        <w:t xml:space="preserve">The probability for each LFE value is the sum of the combination values considered in that LFE distribution bucket. </w:t>
      </w:r>
      <w:r w:rsidR="0060683F">
        <w:rPr>
          <w:szCs w:val="24"/>
        </w:rPr>
        <w:t xml:space="preserve">For example, points </w:t>
      </w:r>
      <w:r w:rsidR="00175EEE">
        <w:rPr>
          <w:szCs w:val="24"/>
        </w:rPr>
        <w:t>4</w:t>
      </w:r>
      <w:r w:rsidR="0060683F">
        <w:rPr>
          <w:szCs w:val="24"/>
        </w:rPr>
        <w:t xml:space="preserve"> (LFE = </w:t>
      </w:r>
      <w:r w:rsidR="00175EEE">
        <w:rPr>
          <w:szCs w:val="24"/>
        </w:rPr>
        <w:t>-2.32</w:t>
      </w:r>
      <w:r w:rsidR="0060683F">
        <w:rPr>
          <w:szCs w:val="24"/>
        </w:rPr>
        <w:t xml:space="preserve">%), </w:t>
      </w:r>
      <w:r w:rsidR="00175EEE">
        <w:rPr>
          <w:szCs w:val="24"/>
        </w:rPr>
        <w:t>5</w:t>
      </w:r>
      <w:r w:rsidR="0060683F">
        <w:rPr>
          <w:szCs w:val="24"/>
        </w:rPr>
        <w:t xml:space="preserve"> (LFE = 0.00), and </w:t>
      </w:r>
      <w:r w:rsidR="00175EEE">
        <w:rPr>
          <w:szCs w:val="24"/>
        </w:rPr>
        <w:t>6</w:t>
      </w:r>
      <w:r w:rsidR="0060683F">
        <w:rPr>
          <w:szCs w:val="24"/>
        </w:rPr>
        <w:t xml:space="preserve"> (LFE = 1.</w:t>
      </w:r>
      <w:r w:rsidR="00175EEE">
        <w:rPr>
          <w:szCs w:val="24"/>
        </w:rPr>
        <w:t>36</w:t>
      </w:r>
      <w:r w:rsidR="0060683F">
        <w:rPr>
          <w:szCs w:val="24"/>
        </w:rPr>
        <w:t xml:space="preserve">%) were </w:t>
      </w:r>
      <w:r w:rsidR="000C7FF7">
        <w:rPr>
          <w:szCs w:val="24"/>
        </w:rPr>
        <w:t>averaged</w:t>
      </w:r>
      <w:r w:rsidR="0060683F">
        <w:rPr>
          <w:szCs w:val="24"/>
        </w:rPr>
        <w:t xml:space="preserve"> together to yield </w:t>
      </w:r>
      <w:r w:rsidR="00175EEE">
        <w:rPr>
          <w:szCs w:val="24"/>
        </w:rPr>
        <w:t>-</w:t>
      </w:r>
      <w:r w:rsidR="0060683F">
        <w:rPr>
          <w:szCs w:val="24"/>
        </w:rPr>
        <w:t>0.</w:t>
      </w:r>
      <w:r w:rsidR="00175EEE">
        <w:rPr>
          <w:szCs w:val="24"/>
        </w:rPr>
        <w:t>32</w:t>
      </w:r>
      <w:r w:rsidR="0060683F">
        <w:rPr>
          <w:szCs w:val="24"/>
        </w:rPr>
        <w:t xml:space="preserve">% and the </w:t>
      </w:r>
      <w:r w:rsidR="006B2BC8">
        <w:rPr>
          <w:szCs w:val="24"/>
        </w:rPr>
        <w:t xml:space="preserve">associated </w:t>
      </w:r>
      <w:r w:rsidR="0060683F">
        <w:rPr>
          <w:szCs w:val="24"/>
        </w:rPr>
        <w:t>probabilities were summed to achieve a combined probability of 33.</w:t>
      </w:r>
      <w:r w:rsidR="00175EEE">
        <w:rPr>
          <w:szCs w:val="24"/>
        </w:rPr>
        <w:t>33</w:t>
      </w:r>
      <w:r w:rsidR="0060683F">
        <w:rPr>
          <w:szCs w:val="24"/>
        </w:rPr>
        <w:t>%. This was done to minimize the total number of simulations that would be required while still considering a distribution of LFE possibilities.</w:t>
      </w:r>
    </w:p>
    <w:p w14:paraId="21387CB3" w14:textId="77777777" w:rsidR="00820E2C" w:rsidRDefault="00820E2C" w:rsidP="00F77FF1">
      <w:pPr>
        <w:rPr>
          <w:szCs w:val="24"/>
        </w:rPr>
      </w:pPr>
    </w:p>
    <w:p w14:paraId="278F3F22" w14:textId="77777777" w:rsidR="00820E2C" w:rsidRDefault="00820E2C" w:rsidP="00F77FF1">
      <w:pPr>
        <w:rPr>
          <w:szCs w:val="24"/>
        </w:rPr>
      </w:pPr>
    </w:p>
    <w:p w14:paraId="0CCFDFAC" w14:textId="2045A600" w:rsidR="0053151C" w:rsidRDefault="0053151C" w:rsidP="0053151C">
      <w:pPr>
        <w:pStyle w:val="Caption"/>
        <w:keepNext/>
      </w:pPr>
      <w:bookmarkStart w:id="92" w:name="_Ref513785089"/>
      <w:bookmarkStart w:id="93" w:name="_Ref87427747"/>
      <w:bookmarkStart w:id="94" w:name="_Toc513710530"/>
      <w:bookmarkStart w:id="95" w:name="_Ref513785084"/>
      <w:bookmarkStart w:id="96" w:name="_Toc187234639"/>
      <w:r>
        <w:t xml:space="preserve">Table </w:t>
      </w:r>
      <w:r w:rsidR="00161C58">
        <w:fldChar w:fldCharType="begin"/>
      </w:r>
      <w:r w:rsidR="00161C58">
        <w:instrText xml:space="preserve"> STYLEREF 1 \s </w:instrText>
      </w:r>
      <w:r w:rsidR="00161C58">
        <w:fldChar w:fldCharType="separate"/>
      </w:r>
      <w:r w:rsidR="00912EA8">
        <w:rPr>
          <w:noProof/>
        </w:rPr>
        <w:t>I</w:t>
      </w:r>
      <w:r w:rsidR="00161C58">
        <w:rPr>
          <w:noProof/>
        </w:rPr>
        <w:fldChar w:fldCharType="end"/>
      </w:r>
      <w:r w:rsidR="00922797">
        <w:noBreakHyphen/>
      </w:r>
      <w:r w:rsidR="00161C58">
        <w:fldChar w:fldCharType="begin"/>
      </w:r>
      <w:r w:rsidR="00161C58">
        <w:instrText xml:space="preserve"> SEQ Table \* ARABIC \s 1 </w:instrText>
      </w:r>
      <w:r w:rsidR="00161C58">
        <w:fldChar w:fldCharType="separate"/>
      </w:r>
      <w:r w:rsidR="00912EA8">
        <w:rPr>
          <w:noProof/>
        </w:rPr>
        <w:t>4</w:t>
      </w:r>
      <w:r w:rsidR="00161C58">
        <w:rPr>
          <w:noProof/>
        </w:rPr>
        <w:fldChar w:fldCharType="end"/>
      </w:r>
      <w:bookmarkEnd w:id="92"/>
      <w:bookmarkEnd w:id="93"/>
      <w:r>
        <w:t xml:space="preserve">. </w:t>
      </w:r>
      <w:r w:rsidR="00B41B1D">
        <w:t xml:space="preserve">Load </w:t>
      </w:r>
      <w:r w:rsidR="0060683F">
        <w:t>F</w:t>
      </w:r>
      <w:r w:rsidR="00B41B1D">
        <w:t xml:space="preserve">orecast </w:t>
      </w:r>
      <w:r w:rsidR="0060683F">
        <w:t>E</w:t>
      </w:r>
      <w:r w:rsidR="00B41B1D">
        <w:t>rror</w:t>
      </w:r>
      <w:bookmarkEnd w:id="94"/>
      <w:bookmarkEnd w:id="95"/>
      <w:bookmarkEnd w:id="96"/>
    </w:p>
    <w:tbl>
      <w:tblPr>
        <w:tblW w:w="9170" w:type="dxa"/>
        <w:jc w:val="center"/>
        <w:tblLook w:val="04A0" w:firstRow="1" w:lastRow="0" w:firstColumn="1" w:lastColumn="0" w:noHBand="0" w:noVBand="1"/>
      </w:tblPr>
      <w:tblGrid>
        <w:gridCol w:w="1368"/>
        <w:gridCol w:w="872"/>
        <w:gridCol w:w="900"/>
        <w:gridCol w:w="1260"/>
        <w:gridCol w:w="1184"/>
        <w:gridCol w:w="976"/>
        <w:gridCol w:w="1184"/>
        <w:gridCol w:w="1426"/>
      </w:tblGrid>
      <w:tr w:rsidR="00454C89" w:rsidRPr="00454C89" w14:paraId="0531EAB0" w14:textId="77777777" w:rsidTr="00FD55A8">
        <w:trPr>
          <w:trHeight w:val="315"/>
          <w:jc w:val="center"/>
        </w:trPr>
        <w:tc>
          <w:tcPr>
            <w:tcW w:w="136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FAED820"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Combination Rank</w:t>
            </w:r>
          </w:p>
        </w:tc>
        <w:tc>
          <w:tcPr>
            <w:tcW w:w="4216" w:type="dxa"/>
            <w:gridSpan w:val="4"/>
            <w:tcBorders>
              <w:top w:val="single" w:sz="8" w:space="0" w:color="auto"/>
              <w:left w:val="nil"/>
              <w:bottom w:val="single" w:sz="8" w:space="0" w:color="auto"/>
              <w:right w:val="single" w:sz="8" w:space="0" w:color="000000"/>
            </w:tcBorders>
            <w:shd w:val="clear" w:color="auto" w:fill="auto"/>
            <w:noWrap/>
            <w:vAlign w:val="bottom"/>
            <w:hideMark/>
          </w:tcPr>
          <w:p w14:paraId="01A61A9F"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9 LFE</w:t>
            </w:r>
          </w:p>
        </w:tc>
        <w:tc>
          <w:tcPr>
            <w:tcW w:w="2160" w:type="dxa"/>
            <w:gridSpan w:val="2"/>
            <w:tcBorders>
              <w:top w:val="single" w:sz="8" w:space="0" w:color="auto"/>
              <w:left w:val="single" w:sz="8" w:space="0" w:color="auto"/>
              <w:bottom w:val="single" w:sz="8" w:space="0" w:color="auto"/>
              <w:right w:val="nil"/>
            </w:tcBorders>
            <w:shd w:val="clear" w:color="auto" w:fill="auto"/>
            <w:noWrap/>
            <w:vAlign w:val="bottom"/>
            <w:hideMark/>
          </w:tcPr>
          <w:p w14:paraId="5C57F4D1"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5 LFE</w:t>
            </w:r>
          </w:p>
        </w:tc>
        <w:tc>
          <w:tcPr>
            <w:tcW w:w="1426" w:type="dxa"/>
            <w:vMerge w:val="restart"/>
            <w:tcBorders>
              <w:top w:val="single" w:sz="8" w:space="0" w:color="auto"/>
              <w:left w:val="single" w:sz="8" w:space="0" w:color="auto"/>
              <w:bottom w:val="single" w:sz="4" w:space="0" w:color="auto"/>
              <w:right w:val="single" w:sz="8" w:space="0" w:color="auto"/>
            </w:tcBorders>
            <w:shd w:val="clear" w:color="auto" w:fill="auto"/>
            <w:vAlign w:val="center"/>
            <w:hideMark/>
          </w:tcPr>
          <w:p w14:paraId="3557D277"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SERVM Load Multiplier</w:t>
            </w:r>
          </w:p>
        </w:tc>
      </w:tr>
      <w:tr w:rsidR="00454C89" w:rsidRPr="00454C89" w14:paraId="701AB113" w14:textId="77777777" w:rsidTr="00FD55A8">
        <w:trPr>
          <w:trHeight w:val="315"/>
          <w:jc w:val="center"/>
        </w:trPr>
        <w:tc>
          <w:tcPr>
            <w:tcW w:w="1368" w:type="dxa"/>
            <w:vMerge/>
            <w:tcBorders>
              <w:top w:val="single" w:sz="8" w:space="0" w:color="auto"/>
              <w:left w:val="single" w:sz="8" w:space="0" w:color="auto"/>
              <w:bottom w:val="single" w:sz="8" w:space="0" w:color="000000"/>
              <w:right w:val="single" w:sz="8" w:space="0" w:color="auto"/>
            </w:tcBorders>
            <w:vAlign w:val="center"/>
            <w:hideMark/>
          </w:tcPr>
          <w:p w14:paraId="6705120A" w14:textId="77777777" w:rsidR="00454C89" w:rsidRPr="00454C89" w:rsidRDefault="00454C89" w:rsidP="00454C89">
            <w:pPr>
              <w:spacing w:line="240" w:lineRule="auto"/>
              <w:jc w:val="left"/>
              <w:rPr>
                <w:rFonts w:ascii="Calibri" w:hAnsi="Calibri" w:cs="Calibri"/>
                <w:color w:val="000000"/>
                <w:sz w:val="22"/>
                <w:szCs w:val="22"/>
              </w:rPr>
            </w:pPr>
          </w:p>
        </w:tc>
        <w:tc>
          <w:tcPr>
            <w:tcW w:w="872" w:type="dxa"/>
            <w:tcBorders>
              <w:top w:val="nil"/>
              <w:left w:val="nil"/>
              <w:bottom w:val="single" w:sz="8" w:space="0" w:color="auto"/>
              <w:right w:val="nil"/>
            </w:tcBorders>
            <w:shd w:val="clear" w:color="auto" w:fill="auto"/>
            <w:noWrap/>
            <w:vAlign w:val="bottom"/>
            <w:hideMark/>
          </w:tcPr>
          <w:p w14:paraId="4891FB00"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Econ</w:t>
            </w:r>
          </w:p>
        </w:tc>
        <w:tc>
          <w:tcPr>
            <w:tcW w:w="900" w:type="dxa"/>
            <w:tcBorders>
              <w:top w:val="nil"/>
              <w:left w:val="nil"/>
              <w:bottom w:val="single" w:sz="8" w:space="0" w:color="auto"/>
              <w:right w:val="nil"/>
            </w:tcBorders>
            <w:shd w:val="clear" w:color="auto" w:fill="auto"/>
            <w:noWrap/>
            <w:vAlign w:val="bottom"/>
            <w:hideMark/>
          </w:tcPr>
          <w:p w14:paraId="23570206"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Model</w:t>
            </w:r>
          </w:p>
        </w:tc>
        <w:tc>
          <w:tcPr>
            <w:tcW w:w="1260" w:type="dxa"/>
            <w:tcBorders>
              <w:top w:val="nil"/>
              <w:left w:val="nil"/>
              <w:bottom w:val="single" w:sz="8" w:space="0" w:color="auto"/>
              <w:right w:val="nil"/>
            </w:tcBorders>
            <w:shd w:val="clear" w:color="auto" w:fill="auto"/>
            <w:noWrap/>
            <w:vAlign w:val="bottom"/>
            <w:hideMark/>
          </w:tcPr>
          <w:p w14:paraId="5BF55D8B"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Total Error</w:t>
            </w:r>
          </w:p>
        </w:tc>
        <w:tc>
          <w:tcPr>
            <w:tcW w:w="1184" w:type="dxa"/>
            <w:tcBorders>
              <w:top w:val="nil"/>
              <w:left w:val="nil"/>
              <w:bottom w:val="single" w:sz="8" w:space="0" w:color="auto"/>
              <w:right w:val="single" w:sz="8" w:space="0" w:color="auto"/>
            </w:tcBorders>
            <w:shd w:val="clear" w:color="auto" w:fill="auto"/>
            <w:noWrap/>
            <w:vAlign w:val="bottom"/>
            <w:hideMark/>
          </w:tcPr>
          <w:p w14:paraId="6F1294A1"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Probability</w:t>
            </w:r>
          </w:p>
        </w:tc>
        <w:tc>
          <w:tcPr>
            <w:tcW w:w="976" w:type="dxa"/>
            <w:tcBorders>
              <w:top w:val="nil"/>
              <w:left w:val="nil"/>
              <w:bottom w:val="single" w:sz="8" w:space="0" w:color="auto"/>
              <w:right w:val="nil"/>
            </w:tcBorders>
            <w:shd w:val="clear" w:color="auto" w:fill="auto"/>
            <w:noWrap/>
            <w:vAlign w:val="bottom"/>
            <w:hideMark/>
          </w:tcPr>
          <w:p w14:paraId="36DCDD59"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LFE</w:t>
            </w:r>
          </w:p>
        </w:tc>
        <w:tc>
          <w:tcPr>
            <w:tcW w:w="1184" w:type="dxa"/>
            <w:tcBorders>
              <w:top w:val="nil"/>
              <w:left w:val="nil"/>
              <w:bottom w:val="single" w:sz="8" w:space="0" w:color="auto"/>
              <w:right w:val="nil"/>
            </w:tcBorders>
            <w:shd w:val="clear" w:color="auto" w:fill="auto"/>
            <w:noWrap/>
            <w:vAlign w:val="bottom"/>
            <w:hideMark/>
          </w:tcPr>
          <w:p w14:paraId="522478B8"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Probability</w:t>
            </w:r>
          </w:p>
        </w:tc>
        <w:tc>
          <w:tcPr>
            <w:tcW w:w="1426" w:type="dxa"/>
            <w:vMerge/>
            <w:tcBorders>
              <w:top w:val="single" w:sz="8" w:space="0" w:color="auto"/>
              <w:left w:val="single" w:sz="8" w:space="0" w:color="auto"/>
              <w:bottom w:val="single" w:sz="4" w:space="0" w:color="auto"/>
              <w:right w:val="single" w:sz="8" w:space="0" w:color="auto"/>
            </w:tcBorders>
            <w:vAlign w:val="center"/>
            <w:hideMark/>
          </w:tcPr>
          <w:p w14:paraId="5C381F6E" w14:textId="77777777" w:rsidR="00454C89" w:rsidRPr="00454C89" w:rsidRDefault="00454C89" w:rsidP="00454C89">
            <w:pPr>
              <w:spacing w:line="240" w:lineRule="auto"/>
              <w:jc w:val="left"/>
              <w:rPr>
                <w:rFonts w:ascii="Calibri" w:hAnsi="Calibri" w:cs="Calibri"/>
                <w:color w:val="000000"/>
                <w:sz w:val="22"/>
                <w:szCs w:val="22"/>
              </w:rPr>
            </w:pPr>
          </w:p>
        </w:tc>
      </w:tr>
      <w:tr w:rsidR="00454C89" w:rsidRPr="00454C89" w14:paraId="7DB1CCA6" w14:textId="77777777" w:rsidTr="00FD55A8">
        <w:trPr>
          <w:trHeight w:val="300"/>
          <w:jc w:val="center"/>
        </w:trPr>
        <w:tc>
          <w:tcPr>
            <w:tcW w:w="1368" w:type="dxa"/>
            <w:tcBorders>
              <w:top w:val="nil"/>
              <w:left w:val="single" w:sz="8" w:space="0" w:color="auto"/>
              <w:bottom w:val="single" w:sz="4" w:space="0" w:color="auto"/>
              <w:right w:val="nil"/>
            </w:tcBorders>
            <w:shd w:val="clear" w:color="auto" w:fill="auto"/>
            <w:noWrap/>
            <w:vAlign w:val="bottom"/>
            <w:hideMark/>
          </w:tcPr>
          <w:p w14:paraId="4B08183E"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w:t>
            </w:r>
          </w:p>
        </w:tc>
        <w:tc>
          <w:tcPr>
            <w:tcW w:w="872" w:type="dxa"/>
            <w:tcBorders>
              <w:top w:val="nil"/>
              <w:left w:val="single" w:sz="8" w:space="0" w:color="auto"/>
              <w:bottom w:val="single" w:sz="4" w:space="0" w:color="auto"/>
              <w:right w:val="single" w:sz="4" w:space="0" w:color="auto"/>
            </w:tcBorders>
            <w:shd w:val="clear" w:color="auto" w:fill="auto"/>
            <w:noWrap/>
            <w:vAlign w:val="bottom"/>
            <w:hideMark/>
          </w:tcPr>
          <w:p w14:paraId="1096E38F"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-2.38%</w:t>
            </w:r>
          </w:p>
        </w:tc>
        <w:tc>
          <w:tcPr>
            <w:tcW w:w="900" w:type="dxa"/>
            <w:tcBorders>
              <w:top w:val="nil"/>
              <w:left w:val="nil"/>
              <w:bottom w:val="single" w:sz="4" w:space="0" w:color="auto"/>
              <w:right w:val="single" w:sz="4" w:space="0" w:color="auto"/>
            </w:tcBorders>
            <w:shd w:val="clear" w:color="auto" w:fill="auto"/>
            <w:noWrap/>
            <w:vAlign w:val="bottom"/>
            <w:hideMark/>
          </w:tcPr>
          <w:p w14:paraId="07A4A10C"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-3.74%</w:t>
            </w:r>
          </w:p>
        </w:tc>
        <w:tc>
          <w:tcPr>
            <w:tcW w:w="1260" w:type="dxa"/>
            <w:tcBorders>
              <w:top w:val="nil"/>
              <w:left w:val="nil"/>
              <w:bottom w:val="single" w:sz="4" w:space="0" w:color="auto"/>
              <w:right w:val="single" w:sz="4" w:space="0" w:color="auto"/>
            </w:tcBorders>
            <w:shd w:val="clear" w:color="auto" w:fill="auto"/>
            <w:noWrap/>
            <w:vAlign w:val="bottom"/>
            <w:hideMark/>
          </w:tcPr>
          <w:p w14:paraId="51C2F065"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-6.12%</w:t>
            </w:r>
          </w:p>
        </w:tc>
        <w:tc>
          <w:tcPr>
            <w:tcW w:w="1184" w:type="dxa"/>
            <w:tcBorders>
              <w:top w:val="nil"/>
              <w:left w:val="nil"/>
              <w:bottom w:val="single" w:sz="4" w:space="0" w:color="auto"/>
              <w:right w:val="single" w:sz="8" w:space="0" w:color="auto"/>
            </w:tcBorders>
            <w:shd w:val="clear" w:color="auto" w:fill="auto"/>
            <w:noWrap/>
            <w:vAlign w:val="bottom"/>
            <w:hideMark/>
          </w:tcPr>
          <w:p w14:paraId="3E8D44E2"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11.11%</w:t>
            </w:r>
          </w:p>
        </w:tc>
        <w:tc>
          <w:tcPr>
            <w:tcW w:w="976" w:type="dxa"/>
            <w:tcBorders>
              <w:top w:val="nil"/>
              <w:left w:val="nil"/>
              <w:bottom w:val="single" w:sz="4" w:space="0" w:color="auto"/>
              <w:right w:val="single" w:sz="4" w:space="0" w:color="auto"/>
            </w:tcBorders>
            <w:shd w:val="clear" w:color="auto" w:fill="auto"/>
            <w:noWrap/>
            <w:vAlign w:val="bottom"/>
            <w:hideMark/>
          </w:tcPr>
          <w:p w14:paraId="4C98650C"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-6.12%</w:t>
            </w:r>
          </w:p>
        </w:tc>
        <w:tc>
          <w:tcPr>
            <w:tcW w:w="1184" w:type="dxa"/>
            <w:tcBorders>
              <w:top w:val="nil"/>
              <w:left w:val="nil"/>
              <w:bottom w:val="single" w:sz="4" w:space="0" w:color="auto"/>
              <w:right w:val="nil"/>
            </w:tcBorders>
            <w:shd w:val="clear" w:color="auto" w:fill="auto"/>
            <w:noWrap/>
            <w:vAlign w:val="bottom"/>
            <w:hideMark/>
          </w:tcPr>
          <w:p w14:paraId="0D695A20"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11.11%</w:t>
            </w:r>
          </w:p>
        </w:tc>
        <w:tc>
          <w:tcPr>
            <w:tcW w:w="1426"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14:paraId="1DB32C28"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0.9388</w:t>
            </w:r>
          </w:p>
        </w:tc>
      </w:tr>
      <w:tr w:rsidR="00454C89" w:rsidRPr="00454C89" w14:paraId="100696C3" w14:textId="77777777" w:rsidTr="00FD55A8">
        <w:trPr>
          <w:trHeight w:val="300"/>
          <w:jc w:val="center"/>
        </w:trPr>
        <w:tc>
          <w:tcPr>
            <w:tcW w:w="1368" w:type="dxa"/>
            <w:tcBorders>
              <w:top w:val="nil"/>
              <w:left w:val="single" w:sz="8" w:space="0" w:color="auto"/>
              <w:bottom w:val="single" w:sz="4" w:space="0" w:color="auto"/>
              <w:right w:val="nil"/>
            </w:tcBorders>
            <w:shd w:val="clear" w:color="auto" w:fill="auto"/>
            <w:noWrap/>
            <w:vAlign w:val="bottom"/>
            <w:hideMark/>
          </w:tcPr>
          <w:p w14:paraId="2904FF81"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2</w:t>
            </w:r>
          </w:p>
        </w:tc>
        <w:tc>
          <w:tcPr>
            <w:tcW w:w="872" w:type="dxa"/>
            <w:tcBorders>
              <w:top w:val="nil"/>
              <w:left w:val="single" w:sz="8" w:space="0" w:color="auto"/>
              <w:bottom w:val="single" w:sz="4" w:space="0" w:color="auto"/>
              <w:right w:val="single" w:sz="4" w:space="0" w:color="auto"/>
            </w:tcBorders>
            <w:shd w:val="clear" w:color="auto" w:fill="auto"/>
            <w:noWrap/>
            <w:vAlign w:val="bottom"/>
            <w:hideMark/>
          </w:tcPr>
          <w:p w14:paraId="3FCAD3CD"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-2.38%</w:t>
            </w:r>
          </w:p>
        </w:tc>
        <w:tc>
          <w:tcPr>
            <w:tcW w:w="900" w:type="dxa"/>
            <w:tcBorders>
              <w:top w:val="nil"/>
              <w:left w:val="nil"/>
              <w:bottom w:val="single" w:sz="4" w:space="0" w:color="auto"/>
              <w:right w:val="single" w:sz="4" w:space="0" w:color="auto"/>
            </w:tcBorders>
            <w:shd w:val="clear" w:color="auto" w:fill="auto"/>
            <w:noWrap/>
            <w:vAlign w:val="bottom"/>
            <w:hideMark/>
          </w:tcPr>
          <w:p w14:paraId="632C3471"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0.00%</w:t>
            </w:r>
          </w:p>
        </w:tc>
        <w:tc>
          <w:tcPr>
            <w:tcW w:w="1260" w:type="dxa"/>
            <w:tcBorders>
              <w:top w:val="nil"/>
              <w:left w:val="nil"/>
              <w:bottom w:val="single" w:sz="4" w:space="0" w:color="auto"/>
              <w:right w:val="single" w:sz="4" w:space="0" w:color="auto"/>
            </w:tcBorders>
            <w:shd w:val="clear" w:color="auto" w:fill="auto"/>
            <w:noWrap/>
            <w:vAlign w:val="bottom"/>
            <w:hideMark/>
          </w:tcPr>
          <w:p w14:paraId="31E4AC24"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-3.74%</w:t>
            </w:r>
          </w:p>
        </w:tc>
        <w:tc>
          <w:tcPr>
            <w:tcW w:w="1184" w:type="dxa"/>
            <w:tcBorders>
              <w:top w:val="nil"/>
              <w:left w:val="nil"/>
              <w:bottom w:val="single" w:sz="4" w:space="0" w:color="auto"/>
              <w:right w:val="single" w:sz="8" w:space="0" w:color="auto"/>
            </w:tcBorders>
            <w:shd w:val="clear" w:color="auto" w:fill="auto"/>
            <w:noWrap/>
            <w:vAlign w:val="bottom"/>
            <w:hideMark/>
          </w:tcPr>
          <w:p w14:paraId="2CACB9CB"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11.11%</w:t>
            </w:r>
          </w:p>
        </w:tc>
        <w:tc>
          <w:tcPr>
            <w:tcW w:w="976" w:type="dxa"/>
            <w:vMerge w:val="restart"/>
            <w:tcBorders>
              <w:top w:val="nil"/>
              <w:left w:val="single" w:sz="8" w:space="0" w:color="auto"/>
              <w:bottom w:val="single" w:sz="4" w:space="0" w:color="auto"/>
              <w:right w:val="single" w:sz="4" w:space="0" w:color="auto"/>
            </w:tcBorders>
            <w:shd w:val="clear" w:color="auto" w:fill="auto"/>
            <w:noWrap/>
            <w:vAlign w:val="center"/>
            <w:hideMark/>
          </w:tcPr>
          <w:p w14:paraId="79607CFB"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-3.06%</w:t>
            </w:r>
          </w:p>
        </w:tc>
        <w:tc>
          <w:tcPr>
            <w:tcW w:w="1184" w:type="dxa"/>
            <w:vMerge w:val="restart"/>
            <w:tcBorders>
              <w:top w:val="nil"/>
              <w:left w:val="single" w:sz="4" w:space="0" w:color="auto"/>
              <w:bottom w:val="single" w:sz="4" w:space="0" w:color="auto"/>
              <w:right w:val="nil"/>
            </w:tcBorders>
            <w:shd w:val="clear" w:color="auto" w:fill="auto"/>
            <w:noWrap/>
            <w:vAlign w:val="center"/>
            <w:hideMark/>
          </w:tcPr>
          <w:p w14:paraId="05A79A08"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22.32%</w:t>
            </w:r>
          </w:p>
        </w:tc>
        <w:tc>
          <w:tcPr>
            <w:tcW w:w="1426" w:type="dxa"/>
            <w:vMerge w:val="restart"/>
            <w:tcBorders>
              <w:top w:val="nil"/>
              <w:left w:val="single" w:sz="8" w:space="0" w:color="auto"/>
              <w:bottom w:val="single" w:sz="4" w:space="0" w:color="auto"/>
              <w:right w:val="single" w:sz="8" w:space="0" w:color="auto"/>
            </w:tcBorders>
            <w:shd w:val="clear" w:color="auto" w:fill="auto"/>
            <w:noWrap/>
            <w:vAlign w:val="center"/>
            <w:hideMark/>
          </w:tcPr>
          <w:p w14:paraId="09CCC74D"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0.9694</w:t>
            </w:r>
          </w:p>
        </w:tc>
      </w:tr>
      <w:tr w:rsidR="00454C89" w:rsidRPr="00454C89" w14:paraId="7181CBA1" w14:textId="77777777" w:rsidTr="00FD55A8">
        <w:trPr>
          <w:trHeight w:val="300"/>
          <w:jc w:val="center"/>
        </w:trPr>
        <w:tc>
          <w:tcPr>
            <w:tcW w:w="1368" w:type="dxa"/>
            <w:tcBorders>
              <w:top w:val="nil"/>
              <w:left w:val="single" w:sz="8" w:space="0" w:color="auto"/>
              <w:bottom w:val="single" w:sz="4" w:space="0" w:color="auto"/>
              <w:right w:val="nil"/>
            </w:tcBorders>
            <w:shd w:val="clear" w:color="auto" w:fill="auto"/>
            <w:noWrap/>
            <w:vAlign w:val="bottom"/>
            <w:hideMark/>
          </w:tcPr>
          <w:p w14:paraId="67D27CBF"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3</w:t>
            </w:r>
          </w:p>
        </w:tc>
        <w:tc>
          <w:tcPr>
            <w:tcW w:w="872" w:type="dxa"/>
            <w:tcBorders>
              <w:top w:val="nil"/>
              <w:left w:val="single" w:sz="8" w:space="0" w:color="auto"/>
              <w:bottom w:val="single" w:sz="4" w:space="0" w:color="auto"/>
              <w:right w:val="single" w:sz="4" w:space="0" w:color="auto"/>
            </w:tcBorders>
            <w:shd w:val="clear" w:color="auto" w:fill="auto"/>
            <w:noWrap/>
            <w:vAlign w:val="bottom"/>
            <w:hideMark/>
          </w:tcPr>
          <w:p w14:paraId="11089749"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-2.38%</w:t>
            </w:r>
          </w:p>
        </w:tc>
        <w:tc>
          <w:tcPr>
            <w:tcW w:w="900" w:type="dxa"/>
            <w:tcBorders>
              <w:top w:val="nil"/>
              <w:left w:val="nil"/>
              <w:bottom w:val="single" w:sz="4" w:space="0" w:color="auto"/>
              <w:right w:val="single" w:sz="4" w:space="0" w:color="auto"/>
            </w:tcBorders>
            <w:shd w:val="clear" w:color="auto" w:fill="auto"/>
            <w:noWrap/>
            <w:vAlign w:val="bottom"/>
            <w:hideMark/>
          </w:tcPr>
          <w:p w14:paraId="11A09494"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3.74%</w:t>
            </w:r>
          </w:p>
        </w:tc>
        <w:tc>
          <w:tcPr>
            <w:tcW w:w="1260" w:type="dxa"/>
            <w:tcBorders>
              <w:top w:val="nil"/>
              <w:left w:val="nil"/>
              <w:bottom w:val="single" w:sz="4" w:space="0" w:color="auto"/>
              <w:right w:val="single" w:sz="4" w:space="0" w:color="auto"/>
            </w:tcBorders>
            <w:shd w:val="clear" w:color="auto" w:fill="auto"/>
            <w:noWrap/>
            <w:vAlign w:val="bottom"/>
            <w:hideMark/>
          </w:tcPr>
          <w:p w14:paraId="5870A910"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-2.38%</w:t>
            </w:r>
          </w:p>
        </w:tc>
        <w:tc>
          <w:tcPr>
            <w:tcW w:w="1184" w:type="dxa"/>
            <w:tcBorders>
              <w:top w:val="nil"/>
              <w:left w:val="nil"/>
              <w:bottom w:val="single" w:sz="4" w:space="0" w:color="auto"/>
              <w:right w:val="single" w:sz="8" w:space="0" w:color="auto"/>
            </w:tcBorders>
            <w:shd w:val="clear" w:color="auto" w:fill="auto"/>
            <w:noWrap/>
            <w:vAlign w:val="bottom"/>
            <w:hideMark/>
          </w:tcPr>
          <w:p w14:paraId="7512A699"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11.21%</w:t>
            </w:r>
          </w:p>
        </w:tc>
        <w:tc>
          <w:tcPr>
            <w:tcW w:w="976" w:type="dxa"/>
            <w:vMerge/>
            <w:tcBorders>
              <w:top w:val="nil"/>
              <w:left w:val="single" w:sz="8" w:space="0" w:color="auto"/>
              <w:bottom w:val="single" w:sz="4" w:space="0" w:color="auto"/>
              <w:right w:val="single" w:sz="4" w:space="0" w:color="auto"/>
            </w:tcBorders>
            <w:vAlign w:val="center"/>
            <w:hideMark/>
          </w:tcPr>
          <w:p w14:paraId="678E28FA" w14:textId="77777777" w:rsidR="00454C89" w:rsidRPr="00454C89" w:rsidRDefault="00454C89" w:rsidP="00454C89">
            <w:pPr>
              <w:spacing w:line="240" w:lineRule="auto"/>
              <w:jc w:val="left"/>
              <w:rPr>
                <w:rFonts w:ascii="Calibri" w:hAnsi="Calibri" w:cs="Calibri"/>
                <w:color w:val="000000"/>
                <w:sz w:val="22"/>
                <w:szCs w:val="22"/>
              </w:rPr>
            </w:pPr>
          </w:p>
        </w:tc>
        <w:tc>
          <w:tcPr>
            <w:tcW w:w="1184" w:type="dxa"/>
            <w:vMerge/>
            <w:tcBorders>
              <w:top w:val="nil"/>
              <w:left w:val="single" w:sz="4" w:space="0" w:color="auto"/>
              <w:bottom w:val="single" w:sz="4" w:space="0" w:color="auto"/>
              <w:right w:val="nil"/>
            </w:tcBorders>
            <w:vAlign w:val="center"/>
            <w:hideMark/>
          </w:tcPr>
          <w:p w14:paraId="53C6E027" w14:textId="77777777" w:rsidR="00454C89" w:rsidRPr="00454C89" w:rsidRDefault="00454C89" w:rsidP="00454C89">
            <w:pPr>
              <w:spacing w:line="240" w:lineRule="auto"/>
              <w:jc w:val="left"/>
              <w:rPr>
                <w:rFonts w:ascii="Calibri" w:hAnsi="Calibri" w:cs="Calibri"/>
                <w:color w:val="000000"/>
                <w:sz w:val="22"/>
                <w:szCs w:val="22"/>
              </w:rPr>
            </w:pPr>
          </w:p>
        </w:tc>
        <w:tc>
          <w:tcPr>
            <w:tcW w:w="1426" w:type="dxa"/>
            <w:vMerge/>
            <w:tcBorders>
              <w:top w:val="nil"/>
              <w:left w:val="single" w:sz="8" w:space="0" w:color="auto"/>
              <w:bottom w:val="single" w:sz="4" w:space="0" w:color="auto"/>
              <w:right w:val="single" w:sz="8" w:space="0" w:color="auto"/>
            </w:tcBorders>
            <w:vAlign w:val="center"/>
            <w:hideMark/>
          </w:tcPr>
          <w:p w14:paraId="0F921023" w14:textId="77777777" w:rsidR="00454C89" w:rsidRPr="00454C89" w:rsidRDefault="00454C89" w:rsidP="00454C89">
            <w:pPr>
              <w:spacing w:line="240" w:lineRule="auto"/>
              <w:jc w:val="left"/>
              <w:rPr>
                <w:rFonts w:ascii="Calibri" w:hAnsi="Calibri" w:cs="Calibri"/>
                <w:color w:val="000000"/>
                <w:sz w:val="22"/>
                <w:szCs w:val="22"/>
              </w:rPr>
            </w:pPr>
          </w:p>
        </w:tc>
      </w:tr>
      <w:tr w:rsidR="00454C89" w:rsidRPr="00454C89" w14:paraId="31D0E281" w14:textId="77777777" w:rsidTr="00FD55A8">
        <w:trPr>
          <w:trHeight w:val="300"/>
          <w:jc w:val="center"/>
        </w:trPr>
        <w:tc>
          <w:tcPr>
            <w:tcW w:w="1368" w:type="dxa"/>
            <w:tcBorders>
              <w:top w:val="nil"/>
              <w:left w:val="single" w:sz="8" w:space="0" w:color="auto"/>
              <w:bottom w:val="single" w:sz="4" w:space="0" w:color="auto"/>
              <w:right w:val="nil"/>
            </w:tcBorders>
            <w:shd w:val="clear" w:color="auto" w:fill="auto"/>
            <w:noWrap/>
            <w:vAlign w:val="bottom"/>
            <w:hideMark/>
          </w:tcPr>
          <w:p w14:paraId="1B6DD32E"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4</w:t>
            </w:r>
          </w:p>
        </w:tc>
        <w:tc>
          <w:tcPr>
            <w:tcW w:w="872" w:type="dxa"/>
            <w:tcBorders>
              <w:top w:val="nil"/>
              <w:left w:val="single" w:sz="8" w:space="0" w:color="auto"/>
              <w:bottom w:val="single" w:sz="4" w:space="0" w:color="auto"/>
              <w:right w:val="single" w:sz="4" w:space="0" w:color="auto"/>
            </w:tcBorders>
            <w:shd w:val="clear" w:color="auto" w:fill="auto"/>
            <w:noWrap/>
            <w:vAlign w:val="bottom"/>
            <w:hideMark/>
          </w:tcPr>
          <w:p w14:paraId="5F4B5092"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0.00%</w:t>
            </w:r>
          </w:p>
        </w:tc>
        <w:tc>
          <w:tcPr>
            <w:tcW w:w="900" w:type="dxa"/>
            <w:tcBorders>
              <w:top w:val="nil"/>
              <w:left w:val="nil"/>
              <w:bottom w:val="single" w:sz="4" w:space="0" w:color="auto"/>
              <w:right w:val="single" w:sz="4" w:space="0" w:color="auto"/>
            </w:tcBorders>
            <w:shd w:val="clear" w:color="auto" w:fill="auto"/>
            <w:noWrap/>
            <w:vAlign w:val="bottom"/>
            <w:hideMark/>
          </w:tcPr>
          <w:p w14:paraId="675EC81B"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-3.74%</w:t>
            </w:r>
          </w:p>
        </w:tc>
        <w:tc>
          <w:tcPr>
            <w:tcW w:w="1260" w:type="dxa"/>
            <w:tcBorders>
              <w:top w:val="nil"/>
              <w:left w:val="nil"/>
              <w:bottom w:val="single" w:sz="4" w:space="0" w:color="auto"/>
              <w:right w:val="single" w:sz="4" w:space="0" w:color="auto"/>
            </w:tcBorders>
            <w:shd w:val="clear" w:color="auto" w:fill="auto"/>
            <w:noWrap/>
            <w:vAlign w:val="bottom"/>
            <w:hideMark/>
          </w:tcPr>
          <w:p w14:paraId="3A2F9032"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-2.32%</w:t>
            </w:r>
          </w:p>
        </w:tc>
        <w:tc>
          <w:tcPr>
            <w:tcW w:w="1184" w:type="dxa"/>
            <w:tcBorders>
              <w:top w:val="nil"/>
              <w:left w:val="nil"/>
              <w:bottom w:val="single" w:sz="4" w:space="0" w:color="auto"/>
              <w:right w:val="single" w:sz="8" w:space="0" w:color="auto"/>
            </w:tcBorders>
            <w:shd w:val="clear" w:color="auto" w:fill="auto"/>
            <w:noWrap/>
            <w:vAlign w:val="bottom"/>
            <w:hideMark/>
          </w:tcPr>
          <w:p w14:paraId="4DBBA694"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11.11%</w:t>
            </w:r>
          </w:p>
        </w:tc>
        <w:tc>
          <w:tcPr>
            <w:tcW w:w="976" w:type="dxa"/>
            <w:vMerge w:val="restart"/>
            <w:tcBorders>
              <w:top w:val="nil"/>
              <w:left w:val="single" w:sz="8" w:space="0" w:color="auto"/>
              <w:bottom w:val="single" w:sz="4" w:space="0" w:color="auto"/>
              <w:right w:val="single" w:sz="4" w:space="0" w:color="auto"/>
            </w:tcBorders>
            <w:shd w:val="clear" w:color="auto" w:fill="auto"/>
            <w:noWrap/>
            <w:vAlign w:val="center"/>
            <w:hideMark/>
          </w:tcPr>
          <w:p w14:paraId="32F2627E"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-0.32%</w:t>
            </w:r>
          </w:p>
        </w:tc>
        <w:tc>
          <w:tcPr>
            <w:tcW w:w="1184" w:type="dxa"/>
            <w:vMerge w:val="restart"/>
            <w:tcBorders>
              <w:top w:val="nil"/>
              <w:left w:val="single" w:sz="4" w:space="0" w:color="auto"/>
              <w:bottom w:val="single" w:sz="4" w:space="0" w:color="auto"/>
              <w:right w:val="nil"/>
            </w:tcBorders>
            <w:shd w:val="clear" w:color="auto" w:fill="auto"/>
            <w:noWrap/>
            <w:vAlign w:val="center"/>
            <w:hideMark/>
          </w:tcPr>
          <w:p w14:paraId="17B956BD"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33.33%</w:t>
            </w:r>
          </w:p>
        </w:tc>
        <w:tc>
          <w:tcPr>
            <w:tcW w:w="1426" w:type="dxa"/>
            <w:vMerge w:val="restart"/>
            <w:tcBorders>
              <w:top w:val="nil"/>
              <w:left w:val="single" w:sz="8" w:space="0" w:color="auto"/>
              <w:bottom w:val="single" w:sz="4" w:space="0" w:color="auto"/>
              <w:right w:val="single" w:sz="8" w:space="0" w:color="auto"/>
            </w:tcBorders>
            <w:shd w:val="clear" w:color="auto" w:fill="auto"/>
            <w:noWrap/>
            <w:vAlign w:val="center"/>
            <w:hideMark/>
          </w:tcPr>
          <w:p w14:paraId="3C4157C5"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0.9968</w:t>
            </w:r>
          </w:p>
        </w:tc>
      </w:tr>
      <w:tr w:rsidR="00454C89" w:rsidRPr="00454C89" w14:paraId="1F6D6DAD" w14:textId="77777777" w:rsidTr="00FD55A8">
        <w:trPr>
          <w:trHeight w:val="315"/>
          <w:jc w:val="center"/>
        </w:trPr>
        <w:tc>
          <w:tcPr>
            <w:tcW w:w="1368" w:type="dxa"/>
            <w:tcBorders>
              <w:top w:val="nil"/>
              <w:left w:val="single" w:sz="8" w:space="0" w:color="auto"/>
              <w:bottom w:val="single" w:sz="4" w:space="0" w:color="auto"/>
              <w:right w:val="nil"/>
            </w:tcBorders>
            <w:shd w:val="clear" w:color="auto" w:fill="auto"/>
            <w:noWrap/>
            <w:vAlign w:val="bottom"/>
            <w:hideMark/>
          </w:tcPr>
          <w:p w14:paraId="358E42B6"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5</w:t>
            </w:r>
          </w:p>
        </w:tc>
        <w:tc>
          <w:tcPr>
            <w:tcW w:w="872" w:type="dxa"/>
            <w:tcBorders>
              <w:top w:val="nil"/>
              <w:left w:val="single" w:sz="8" w:space="0" w:color="auto"/>
              <w:bottom w:val="single" w:sz="4" w:space="0" w:color="auto"/>
              <w:right w:val="single" w:sz="4" w:space="0" w:color="auto"/>
            </w:tcBorders>
            <w:shd w:val="clear" w:color="auto" w:fill="auto"/>
            <w:noWrap/>
            <w:vAlign w:val="bottom"/>
            <w:hideMark/>
          </w:tcPr>
          <w:p w14:paraId="2DA1FD69"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0.00%</w:t>
            </w:r>
          </w:p>
        </w:tc>
        <w:tc>
          <w:tcPr>
            <w:tcW w:w="900" w:type="dxa"/>
            <w:tcBorders>
              <w:top w:val="nil"/>
              <w:left w:val="nil"/>
              <w:bottom w:val="single" w:sz="4" w:space="0" w:color="auto"/>
              <w:right w:val="single" w:sz="4" w:space="0" w:color="auto"/>
            </w:tcBorders>
            <w:shd w:val="clear" w:color="auto" w:fill="auto"/>
            <w:noWrap/>
            <w:vAlign w:val="bottom"/>
            <w:hideMark/>
          </w:tcPr>
          <w:p w14:paraId="3A836EF3"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0.00%</w:t>
            </w:r>
          </w:p>
        </w:tc>
        <w:tc>
          <w:tcPr>
            <w:tcW w:w="1260" w:type="dxa"/>
            <w:tcBorders>
              <w:top w:val="nil"/>
              <w:left w:val="nil"/>
              <w:bottom w:val="single" w:sz="4" w:space="0" w:color="auto"/>
              <w:right w:val="single" w:sz="4" w:space="0" w:color="auto"/>
            </w:tcBorders>
            <w:shd w:val="clear" w:color="auto" w:fill="auto"/>
            <w:noWrap/>
            <w:vAlign w:val="bottom"/>
            <w:hideMark/>
          </w:tcPr>
          <w:p w14:paraId="5F4436E5"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0.00%</w:t>
            </w:r>
          </w:p>
        </w:tc>
        <w:tc>
          <w:tcPr>
            <w:tcW w:w="1184" w:type="dxa"/>
            <w:tcBorders>
              <w:top w:val="nil"/>
              <w:left w:val="nil"/>
              <w:bottom w:val="single" w:sz="4" w:space="0" w:color="auto"/>
              <w:right w:val="single" w:sz="8" w:space="0" w:color="auto"/>
            </w:tcBorders>
            <w:shd w:val="clear" w:color="auto" w:fill="auto"/>
            <w:noWrap/>
            <w:vAlign w:val="bottom"/>
            <w:hideMark/>
          </w:tcPr>
          <w:p w14:paraId="56FAC821"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11.21%</w:t>
            </w:r>
          </w:p>
        </w:tc>
        <w:tc>
          <w:tcPr>
            <w:tcW w:w="976" w:type="dxa"/>
            <w:vMerge/>
            <w:tcBorders>
              <w:top w:val="nil"/>
              <w:left w:val="single" w:sz="8" w:space="0" w:color="auto"/>
              <w:bottom w:val="single" w:sz="4" w:space="0" w:color="auto"/>
              <w:right w:val="single" w:sz="4" w:space="0" w:color="auto"/>
            </w:tcBorders>
            <w:vAlign w:val="center"/>
            <w:hideMark/>
          </w:tcPr>
          <w:p w14:paraId="6DDC8B21" w14:textId="77777777" w:rsidR="00454C89" w:rsidRPr="00454C89" w:rsidRDefault="00454C89" w:rsidP="00454C89">
            <w:pPr>
              <w:spacing w:line="240" w:lineRule="auto"/>
              <w:jc w:val="left"/>
              <w:rPr>
                <w:rFonts w:ascii="Calibri" w:hAnsi="Calibri" w:cs="Calibri"/>
                <w:color w:val="000000"/>
                <w:sz w:val="22"/>
                <w:szCs w:val="22"/>
              </w:rPr>
            </w:pPr>
          </w:p>
        </w:tc>
        <w:tc>
          <w:tcPr>
            <w:tcW w:w="1184" w:type="dxa"/>
            <w:vMerge/>
            <w:tcBorders>
              <w:top w:val="nil"/>
              <w:left w:val="single" w:sz="4" w:space="0" w:color="auto"/>
              <w:bottom w:val="single" w:sz="4" w:space="0" w:color="auto"/>
              <w:right w:val="nil"/>
            </w:tcBorders>
            <w:vAlign w:val="center"/>
            <w:hideMark/>
          </w:tcPr>
          <w:p w14:paraId="40D25578" w14:textId="77777777" w:rsidR="00454C89" w:rsidRPr="00454C89" w:rsidRDefault="00454C89" w:rsidP="00454C89">
            <w:pPr>
              <w:spacing w:line="240" w:lineRule="auto"/>
              <w:jc w:val="left"/>
              <w:rPr>
                <w:rFonts w:ascii="Calibri" w:hAnsi="Calibri" w:cs="Calibri"/>
                <w:color w:val="000000"/>
                <w:sz w:val="22"/>
                <w:szCs w:val="22"/>
              </w:rPr>
            </w:pPr>
          </w:p>
        </w:tc>
        <w:tc>
          <w:tcPr>
            <w:tcW w:w="1426" w:type="dxa"/>
            <w:vMerge/>
            <w:tcBorders>
              <w:top w:val="nil"/>
              <w:left w:val="single" w:sz="8" w:space="0" w:color="auto"/>
              <w:bottom w:val="single" w:sz="4" w:space="0" w:color="auto"/>
              <w:right w:val="single" w:sz="8" w:space="0" w:color="auto"/>
            </w:tcBorders>
            <w:vAlign w:val="center"/>
            <w:hideMark/>
          </w:tcPr>
          <w:p w14:paraId="6025A665" w14:textId="77777777" w:rsidR="00454C89" w:rsidRPr="00454C89" w:rsidRDefault="00454C89" w:rsidP="00454C89">
            <w:pPr>
              <w:spacing w:line="240" w:lineRule="auto"/>
              <w:jc w:val="left"/>
              <w:rPr>
                <w:rFonts w:ascii="Calibri" w:hAnsi="Calibri" w:cs="Calibri"/>
                <w:color w:val="000000"/>
                <w:sz w:val="22"/>
                <w:szCs w:val="22"/>
              </w:rPr>
            </w:pPr>
          </w:p>
        </w:tc>
      </w:tr>
      <w:tr w:rsidR="00454C89" w:rsidRPr="00454C89" w14:paraId="46A856F5" w14:textId="77777777" w:rsidTr="00FD55A8">
        <w:trPr>
          <w:trHeight w:val="300"/>
          <w:jc w:val="center"/>
        </w:trPr>
        <w:tc>
          <w:tcPr>
            <w:tcW w:w="1368" w:type="dxa"/>
            <w:tcBorders>
              <w:top w:val="nil"/>
              <w:left w:val="single" w:sz="8" w:space="0" w:color="auto"/>
              <w:bottom w:val="single" w:sz="4" w:space="0" w:color="auto"/>
              <w:right w:val="nil"/>
            </w:tcBorders>
            <w:shd w:val="clear" w:color="auto" w:fill="auto"/>
            <w:noWrap/>
            <w:vAlign w:val="bottom"/>
            <w:hideMark/>
          </w:tcPr>
          <w:p w14:paraId="4415386D"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6</w:t>
            </w:r>
          </w:p>
        </w:tc>
        <w:tc>
          <w:tcPr>
            <w:tcW w:w="872" w:type="dxa"/>
            <w:tcBorders>
              <w:top w:val="nil"/>
              <w:left w:val="single" w:sz="8" w:space="0" w:color="auto"/>
              <w:bottom w:val="single" w:sz="4" w:space="0" w:color="auto"/>
              <w:right w:val="single" w:sz="4" w:space="0" w:color="auto"/>
            </w:tcBorders>
            <w:shd w:val="clear" w:color="auto" w:fill="auto"/>
            <w:noWrap/>
            <w:vAlign w:val="bottom"/>
            <w:hideMark/>
          </w:tcPr>
          <w:p w14:paraId="7D22785F"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0.00%</w:t>
            </w:r>
          </w:p>
        </w:tc>
        <w:tc>
          <w:tcPr>
            <w:tcW w:w="900" w:type="dxa"/>
            <w:tcBorders>
              <w:top w:val="nil"/>
              <w:left w:val="nil"/>
              <w:bottom w:val="single" w:sz="4" w:space="0" w:color="auto"/>
              <w:right w:val="single" w:sz="4" w:space="0" w:color="auto"/>
            </w:tcBorders>
            <w:shd w:val="clear" w:color="auto" w:fill="auto"/>
            <w:noWrap/>
            <w:vAlign w:val="bottom"/>
            <w:hideMark/>
          </w:tcPr>
          <w:p w14:paraId="2E70DF5B"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3.74%</w:t>
            </w:r>
          </w:p>
        </w:tc>
        <w:tc>
          <w:tcPr>
            <w:tcW w:w="1260" w:type="dxa"/>
            <w:tcBorders>
              <w:top w:val="nil"/>
              <w:left w:val="nil"/>
              <w:bottom w:val="single" w:sz="4" w:space="0" w:color="auto"/>
              <w:right w:val="single" w:sz="4" w:space="0" w:color="auto"/>
            </w:tcBorders>
            <w:shd w:val="clear" w:color="auto" w:fill="auto"/>
            <w:noWrap/>
            <w:vAlign w:val="bottom"/>
            <w:hideMark/>
          </w:tcPr>
          <w:p w14:paraId="3B356FDD"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1.36%</w:t>
            </w:r>
          </w:p>
        </w:tc>
        <w:tc>
          <w:tcPr>
            <w:tcW w:w="1184" w:type="dxa"/>
            <w:tcBorders>
              <w:top w:val="nil"/>
              <w:left w:val="nil"/>
              <w:bottom w:val="single" w:sz="4" w:space="0" w:color="auto"/>
              <w:right w:val="single" w:sz="8" w:space="0" w:color="auto"/>
            </w:tcBorders>
            <w:shd w:val="clear" w:color="auto" w:fill="auto"/>
            <w:noWrap/>
            <w:vAlign w:val="bottom"/>
            <w:hideMark/>
          </w:tcPr>
          <w:p w14:paraId="0C1147E8"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11.01%</w:t>
            </w:r>
          </w:p>
        </w:tc>
        <w:tc>
          <w:tcPr>
            <w:tcW w:w="976" w:type="dxa"/>
            <w:vMerge/>
            <w:tcBorders>
              <w:top w:val="nil"/>
              <w:left w:val="single" w:sz="8" w:space="0" w:color="auto"/>
              <w:bottom w:val="single" w:sz="4" w:space="0" w:color="auto"/>
              <w:right w:val="single" w:sz="4" w:space="0" w:color="auto"/>
            </w:tcBorders>
            <w:vAlign w:val="center"/>
            <w:hideMark/>
          </w:tcPr>
          <w:p w14:paraId="0E0041DC" w14:textId="77777777" w:rsidR="00454C89" w:rsidRPr="00454C89" w:rsidRDefault="00454C89" w:rsidP="00454C89">
            <w:pPr>
              <w:spacing w:line="240" w:lineRule="auto"/>
              <w:jc w:val="left"/>
              <w:rPr>
                <w:rFonts w:ascii="Calibri" w:hAnsi="Calibri" w:cs="Calibri"/>
                <w:color w:val="000000"/>
                <w:sz w:val="22"/>
                <w:szCs w:val="22"/>
              </w:rPr>
            </w:pPr>
          </w:p>
        </w:tc>
        <w:tc>
          <w:tcPr>
            <w:tcW w:w="1184" w:type="dxa"/>
            <w:vMerge/>
            <w:tcBorders>
              <w:top w:val="nil"/>
              <w:left w:val="single" w:sz="4" w:space="0" w:color="auto"/>
              <w:bottom w:val="single" w:sz="4" w:space="0" w:color="auto"/>
              <w:right w:val="nil"/>
            </w:tcBorders>
            <w:vAlign w:val="center"/>
            <w:hideMark/>
          </w:tcPr>
          <w:p w14:paraId="3AEB5FB3" w14:textId="77777777" w:rsidR="00454C89" w:rsidRPr="00454C89" w:rsidRDefault="00454C89" w:rsidP="00454C89">
            <w:pPr>
              <w:spacing w:line="240" w:lineRule="auto"/>
              <w:jc w:val="left"/>
              <w:rPr>
                <w:rFonts w:ascii="Calibri" w:hAnsi="Calibri" w:cs="Calibri"/>
                <w:color w:val="000000"/>
                <w:sz w:val="22"/>
                <w:szCs w:val="22"/>
              </w:rPr>
            </w:pPr>
          </w:p>
        </w:tc>
        <w:tc>
          <w:tcPr>
            <w:tcW w:w="1426" w:type="dxa"/>
            <w:vMerge/>
            <w:tcBorders>
              <w:top w:val="nil"/>
              <w:left w:val="single" w:sz="8" w:space="0" w:color="auto"/>
              <w:bottom w:val="single" w:sz="4" w:space="0" w:color="auto"/>
              <w:right w:val="single" w:sz="8" w:space="0" w:color="auto"/>
            </w:tcBorders>
            <w:vAlign w:val="center"/>
            <w:hideMark/>
          </w:tcPr>
          <w:p w14:paraId="72C33A81" w14:textId="77777777" w:rsidR="00454C89" w:rsidRPr="00454C89" w:rsidRDefault="00454C89" w:rsidP="00454C89">
            <w:pPr>
              <w:spacing w:line="240" w:lineRule="auto"/>
              <w:jc w:val="left"/>
              <w:rPr>
                <w:rFonts w:ascii="Calibri" w:hAnsi="Calibri" w:cs="Calibri"/>
                <w:color w:val="000000"/>
                <w:sz w:val="22"/>
                <w:szCs w:val="22"/>
              </w:rPr>
            </w:pPr>
          </w:p>
        </w:tc>
      </w:tr>
      <w:tr w:rsidR="00454C89" w:rsidRPr="00454C89" w14:paraId="421590E8" w14:textId="77777777" w:rsidTr="00FD55A8">
        <w:trPr>
          <w:trHeight w:val="300"/>
          <w:jc w:val="center"/>
        </w:trPr>
        <w:tc>
          <w:tcPr>
            <w:tcW w:w="1368" w:type="dxa"/>
            <w:tcBorders>
              <w:top w:val="nil"/>
              <w:left w:val="single" w:sz="8" w:space="0" w:color="auto"/>
              <w:bottom w:val="single" w:sz="4" w:space="0" w:color="auto"/>
              <w:right w:val="nil"/>
            </w:tcBorders>
            <w:shd w:val="clear" w:color="auto" w:fill="auto"/>
            <w:noWrap/>
            <w:vAlign w:val="bottom"/>
            <w:hideMark/>
          </w:tcPr>
          <w:p w14:paraId="431CC4A7"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7</w:t>
            </w:r>
          </w:p>
        </w:tc>
        <w:tc>
          <w:tcPr>
            <w:tcW w:w="872" w:type="dxa"/>
            <w:tcBorders>
              <w:top w:val="nil"/>
              <w:left w:val="single" w:sz="8" w:space="0" w:color="auto"/>
              <w:bottom w:val="single" w:sz="4" w:space="0" w:color="auto"/>
              <w:right w:val="single" w:sz="4" w:space="0" w:color="auto"/>
            </w:tcBorders>
            <w:shd w:val="clear" w:color="auto" w:fill="auto"/>
            <w:noWrap/>
            <w:vAlign w:val="bottom"/>
            <w:hideMark/>
          </w:tcPr>
          <w:p w14:paraId="41B117BB"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1.42%</w:t>
            </w:r>
          </w:p>
        </w:tc>
        <w:tc>
          <w:tcPr>
            <w:tcW w:w="900" w:type="dxa"/>
            <w:tcBorders>
              <w:top w:val="nil"/>
              <w:left w:val="nil"/>
              <w:bottom w:val="single" w:sz="4" w:space="0" w:color="auto"/>
              <w:right w:val="single" w:sz="4" w:space="0" w:color="auto"/>
            </w:tcBorders>
            <w:shd w:val="clear" w:color="auto" w:fill="auto"/>
            <w:noWrap/>
            <w:vAlign w:val="bottom"/>
            <w:hideMark/>
          </w:tcPr>
          <w:p w14:paraId="41E82B56"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-3.74%</w:t>
            </w:r>
          </w:p>
        </w:tc>
        <w:tc>
          <w:tcPr>
            <w:tcW w:w="1260" w:type="dxa"/>
            <w:tcBorders>
              <w:top w:val="nil"/>
              <w:left w:val="nil"/>
              <w:bottom w:val="single" w:sz="4" w:space="0" w:color="auto"/>
              <w:right w:val="single" w:sz="4" w:space="0" w:color="auto"/>
            </w:tcBorders>
            <w:shd w:val="clear" w:color="auto" w:fill="auto"/>
            <w:noWrap/>
            <w:vAlign w:val="bottom"/>
            <w:hideMark/>
          </w:tcPr>
          <w:p w14:paraId="02D36A3F"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1.42%</w:t>
            </w:r>
          </w:p>
        </w:tc>
        <w:tc>
          <w:tcPr>
            <w:tcW w:w="1184" w:type="dxa"/>
            <w:tcBorders>
              <w:top w:val="nil"/>
              <w:left w:val="nil"/>
              <w:bottom w:val="single" w:sz="4" w:space="0" w:color="auto"/>
              <w:right w:val="single" w:sz="8" w:space="0" w:color="auto"/>
            </w:tcBorders>
            <w:shd w:val="clear" w:color="auto" w:fill="auto"/>
            <w:noWrap/>
            <w:vAlign w:val="bottom"/>
            <w:hideMark/>
          </w:tcPr>
          <w:p w14:paraId="039FAADD"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11.21%</w:t>
            </w:r>
          </w:p>
        </w:tc>
        <w:tc>
          <w:tcPr>
            <w:tcW w:w="976" w:type="dxa"/>
            <w:vMerge w:val="restart"/>
            <w:tcBorders>
              <w:top w:val="nil"/>
              <w:left w:val="single" w:sz="8" w:space="0" w:color="auto"/>
              <w:bottom w:val="single" w:sz="4" w:space="0" w:color="auto"/>
              <w:right w:val="single" w:sz="4" w:space="0" w:color="auto"/>
            </w:tcBorders>
            <w:shd w:val="clear" w:color="auto" w:fill="auto"/>
            <w:noWrap/>
            <w:vAlign w:val="center"/>
            <w:hideMark/>
          </w:tcPr>
          <w:p w14:paraId="1F6A87B4"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2.58%</w:t>
            </w:r>
          </w:p>
        </w:tc>
        <w:tc>
          <w:tcPr>
            <w:tcW w:w="1184" w:type="dxa"/>
            <w:vMerge w:val="restart"/>
            <w:tcBorders>
              <w:top w:val="nil"/>
              <w:left w:val="single" w:sz="4" w:space="0" w:color="auto"/>
              <w:bottom w:val="single" w:sz="4" w:space="0" w:color="auto"/>
              <w:right w:val="nil"/>
            </w:tcBorders>
            <w:shd w:val="clear" w:color="auto" w:fill="auto"/>
            <w:noWrap/>
            <w:vAlign w:val="center"/>
            <w:hideMark/>
          </w:tcPr>
          <w:p w14:paraId="54E4BD53"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22.22%</w:t>
            </w:r>
          </w:p>
        </w:tc>
        <w:tc>
          <w:tcPr>
            <w:tcW w:w="1426" w:type="dxa"/>
            <w:vMerge w:val="restart"/>
            <w:tcBorders>
              <w:top w:val="nil"/>
              <w:left w:val="single" w:sz="8" w:space="0" w:color="auto"/>
              <w:bottom w:val="single" w:sz="4" w:space="0" w:color="auto"/>
              <w:right w:val="single" w:sz="8" w:space="0" w:color="auto"/>
            </w:tcBorders>
            <w:shd w:val="clear" w:color="auto" w:fill="auto"/>
            <w:noWrap/>
            <w:vAlign w:val="center"/>
            <w:hideMark/>
          </w:tcPr>
          <w:p w14:paraId="66400BE7"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1.0258</w:t>
            </w:r>
          </w:p>
        </w:tc>
      </w:tr>
      <w:tr w:rsidR="00454C89" w:rsidRPr="00454C89" w14:paraId="4E25171A" w14:textId="77777777" w:rsidTr="00FD55A8">
        <w:trPr>
          <w:trHeight w:val="300"/>
          <w:jc w:val="center"/>
        </w:trPr>
        <w:tc>
          <w:tcPr>
            <w:tcW w:w="1368" w:type="dxa"/>
            <w:tcBorders>
              <w:top w:val="nil"/>
              <w:left w:val="single" w:sz="8" w:space="0" w:color="auto"/>
              <w:bottom w:val="single" w:sz="4" w:space="0" w:color="auto"/>
              <w:right w:val="nil"/>
            </w:tcBorders>
            <w:shd w:val="clear" w:color="auto" w:fill="auto"/>
            <w:noWrap/>
            <w:vAlign w:val="bottom"/>
            <w:hideMark/>
          </w:tcPr>
          <w:p w14:paraId="5064F503"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8</w:t>
            </w:r>
          </w:p>
        </w:tc>
        <w:tc>
          <w:tcPr>
            <w:tcW w:w="872" w:type="dxa"/>
            <w:tcBorders>
              <w:top w:val="nil"/>
              <w:left w:val="single" w:sz="8" w:space="0" w:color="auto"/>
              <w:bottom w:val="single" w:sz="4" w:space="0" w:color="auto"/>
              <w:right w:val="single" w:sz="4" w:space="0" w:color="auto"/>
            </w:tcBorders>
            <w:shd w:val="clear" w:color="auto" w:fill="auto"/>
            <w:noWrap/>
            <w:vAlign w:val="bottom"/>
            <w:hideMark/>
          </w:tcPr>
          <w:p w14:paraId="4C186109"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1.42%</w:t>
            </w:r>
          </w:p>
        </w:tc>
        <w:tc>
          <w:tcPr>
            <w:tcW w:w="900" w:type="dxa"/>
            <w:tcBorders>
              <w:top w:val="nil"/>
              <w:left w:val="nil"/>
              <w:bottom w:val="single" w:sz="4" w:space="0" w:color="auto"/>
              <w:right w:val="single" w:sz="4" w:space="0" w:color="auto"/>
            </w:tcBorders>
            <w:shd w:val="clear" w:color="auto" w:fill="auto"/>
            <w:noWrap/>
            <w:vAlign w:val="bottom"/>
            <w:hideMark/>
          </w:tcPr>
          <w:p w14:paraId="5E4F7427"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0.00%</w:t>
            </w:r>
          </w:p>
        </w:tc>
        <w:tc>
          <w:tcPr>
            <w:tcW w:w="1260" w:type="dxa"/>
            <w:tcBorders>
              <w:top w:val="nil"/>
              <w:left w:val="nil"/>
              <w:bottom w:val="single" w:sz="4" w:space="0" w:color="auto"/>
              <w:right w:val="single" w:sz="4" w:space="0" w:color="auto"/>
            </w:tcBorders>
            <w:shd w:val="clear" w:color="auto" w:fill="auto"/>
            <w:noWrap/>
            <w:vAlign w:val="bottom"/>
            <w:hideMark/>
          </w:tcPr>
          <w:p w14:paraId="2927ECDD"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3.74%</w:t>
            </w:r>
          </w:p>
        </w:tc>
        <w:tc>
          <w:tcPr>
            <w:tcW w:w="1184" w:type="dxa"/>
            <w:tcBorders>
              <w:top w:val="nil"/>
              <w:left w:val="nil"/>
              <w:bottom w:val="single" w:sz="4" w:space="0" w:color="auto"/>
              <w:right w:val="single" w:sz="8" w:space="0" w:color="auto"/>
            </w:tcBorders>
            <w:shd w:val="clear" w:color="auto" w:fill="auto"/>
            <w:noWrap/>
            <w:vAlign w:val="bottom"/>
            <w:hideMark/>
          </w:tcPr>
          <w:p w14:paraId="7BB694F3"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11.01%</w:t>
            </w:r>
          </w:p>
        </w:tc>
        <w:tc>
          <w:tcPr>
            <w:tcW w:w="976" w:type="dxa"/>
            <w:vMerge/>
            <w:tcBorders>
              <w:top w:val="nil"/>
              <w:left w:val="single" w:sz="8" w:space="0" w:color="auto"/>
              <w:bottom w:val="single" w:sz="4" w:space="0" w:color="auto"/>
              <w:right w:val="single" w:sz="4" w:space="0" w:color="auto"/>
            </w:tcBorders>
            <w:vAlign w:val="center"/>
            <w:hideMark/>
          </w:tcPr>
          <w:p w14:paraId="267D3719" w14:textId="77777777" w:rsidR="00454C89" w:rsidRPr="00454C89" w:rsidRDefault="00454C89" w:rsidP="00454C89">
            <w:pPr>
              <w:spacing w:line="240" w:lineRule="auto"/>
              <w:jc w:val="left"/>
              <w:rPr>
                <w:rFonts w:ascii="Calibri" w:hAnsi="Calibri" w:cs="Calibri"/>
                <w:color w:val="000000"/>
                <w:sz w:val="22"/>
                <w:szCs w:val="22"/>
              </w:rPr>
            </w:pPr>
          </w:p>
        </w:tc>
        <w:tc>
          <w:tcPr>
            <w:tcW w:w="1184" w:type="dxa"/>
            <w:vMerge/>
            <w:tcBorders>
              <w:top w:val="nil"/>
              <w:left w:val="single" w:sz="4" w:space="0" w:color="auto"/>
              <w:bottom w:val="single" w:sz="4" w:space="0" w:color="auto"/>
              <w:right w:val="nil"/>
            </w:tcBorders>
            <w:vAlign w:val="center"/>
            <w:hideMark/>
          </w:tcPr>
          <w:p w14:paraId="2CB787A2" w14:textId="77777777" w:rsidR="00454C89" w:rsidRPr="00454C89" w:rsidRDefault="00454C89" w:rsidP="00454C89">
            <w:pPr>
              <w:spacing w:line="240" w:lineRule="auto"/>
              <w:jc w:val="left"/>
              <w:rPr>
                <w:rFonts w:ascii="Calibri" w:hAnsi="Calibri" w:cs="Calibri"/>
                <w:color w:val="000000"/>
                <w:sz w:val="22"/>
                <w:szCs w:val="22"/>
              </w:rPr>
            </w:pPr>
          </w:p>
        </w:tc>
        <w:tc>
          <w:tcPr>
            <w:tcW w:w="1426" w:type="dxa"/>
            <w:vMerge/>
            <w:tcBorders>
              <w:top w:val="nil"/>
              <w:left w:val="single" w:sz="8" w:space="0" w:color="auto"/>
              <w:bottom w:val="single" w:sz="4" w:space="0" w:color="auto"/>
              <w:right w:val="single" w:sz="8" w:space="0" w:color="auto"/>
            </w:tcBorders>
            <w:vAlign w:val="center"/>
            <w:hideMark/>
          </w:tcPr>
          <w:p w14:paraId="17DB2B9E" w14:textId="77777777" w:rsidR="00454C89" w:rsidRPr="00454C89" w:rsidRDefault="00454C89" w:rsidP="00454C89">
            <w:pPr>
              <w:spacing w:line="240" w:lineRule="auto"/>
              <w:jc w:val="left"/>
              <w:rPr>
                <w:rFonts w:ascii="Calibri" w:hAnsi="Calibri" w:cs="Calibri"/>
                <w:color w:val="000000"/>
                <w:sz w:val="22"/>
                <w:szCs w:val="22"/>
              </w:rPr>
            </w:pPr>
          </w:p>
        </w:tc>
      </w:tr>
      <w:tr w:rsidR="00454C89" w:rsidRPr="00454C89" w14:paraId="7BFAA094" w14:textId="77777777" w:rsidTr="00FD55A8">
        <w:trPr>
          <w:trHeight w:val="315"/>
          <w:jc w:val="center"/>
        </w:trPr>
        <w:tc>
          <w:tcPr>
            <w:tcW w:w="1368" w:type="dxa"/>
            <w:tcBorders>
              <w:top w:val="nil"/>
              <w:left w:val="single" w:sz="8" w:space="0" w:color="auto"/>
              <w:bottom w:val="single" w:sz="8" w:space="0" w:color="auto"/>
              <w:right w:val="nil"/>
            </w:tcBorders>
            <w:shd w:val="clear" w:color="auto" w:fill="auto"/>
            <w:noWrap/>
            <w:vAlign w:val="bottom"/>
            <w:hideMark/>
          </w:tcPr>
          <w:p w14:paraId="7FF41DF4"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9</w:t>
            </w:r>
          </w:p>
        </w:tc>
        <w:tc>
          <w:tcPr>
            <w:tcW w:w="872" w:type="dxa"/>
            <w:tcBorders>
              <w:top w:val="nil"/>
              <w:left w:val="single" w:sz="8" w:space="0" w:color="auto"/>
              <w:bottom w:val="single" w:sz="8" w:space="0" w:color="auto"/>
              <w:right w:val="single" w:sz="4" w:space="0" w:color="auto"/>
            </w:tcBorders>
            <w:shd w:val="clear" w:color="auto" w:fill="auto"/>
            <w:noWrap/>
            <w:vAlign w:val="bottom"/>
            <w:hideMark/>
          </w:tcPr>
          <w:p w14:paraId="532E0DDB"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1.42%</w:t>
            </w:r>
          </w:p>
        </w:tc>
        <w:tc>
          <w:tcPr>
            <w:tcW w:w="900" w:type="dxa"/>
            <w:tcBorders>
              <w:top w:val="nil"/>
              <w:left w:val="nil"/>
              <w:bottom w:val="single" w:sz="8" w:space="0" w:color="auto"/>
              <w:right w:val="single" w:sz="4" w:space="0" w:color="auto"/>
            </w:tcBorders>
            <w:shd w:val="clear" w:color="auto" w:fill="auto"/>
            <w:noWrap/>
            <w:vAlign w:val="bottom"/>
            <w:hideMark/>
          </w:tcPr>
          <w:p w14:paraId="28D659E9"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3.74%</w:t>
            </w:r>
          </w:p>
        </w:tc>
        <w:tc>
          <w:tcPr>
            <w:tcW w:w="1260" w:type="dxa"/>
            <w:tcBorders>
              <w:top w:val="nil"/>
              <w:left w:val="nil"/>
              <w:bottom w:val="single" w:sz="8" w:space="0" w:color="auto"/>
              <w:right w:val="single" w:sz="4" w:space="0" w:color="auto"/>
            </w:tcBorders>
            <w:shd w:val="clear" w:color="auto" w:fill="auto"/>
            <w:noWrap/>
            <w:vAlign w:val="bottom"/>
            <w:hideMark/>
          </w:tcPr>
          <w:p w14:paraId="424400D5"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5.16%</w:t>
            </w:r>
          </w:p>
        </w:tc>
        <w:tc>
          <w:tcPr>
            <w:tcW w:w="1184" w:type="dxa"/>
            <w:tcBorders>
              <w:top w:val="nil"/>
              <w:left w:val="nil"/>
              <w:bottom w:val="single" w:sz="8" w:space="0" w:color="auto"/>
              <w:right w:val="single" w:sz="8" w:space="0" w:color="auto"/>
            </w:tcBorders>
            <w:shd w:val="clear" w:color="auto" w:fill="auto"/>
            <w:noWrap/>
            <w:vAlign w:val="bottom"/>
            <w:hideMark/>
          </w:tcPr>
          <w:p w14:paraId="45E0C644"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11.01%</w:t>
            </w:r>
          </w:p>
        </w:tc>
        <w:tc>
          <w:tcPr>
            <w:tcW w:w="976" w:type="dxa"/>
            <w:tcBorders>
              <w:top w:val="nil"/>
              <w:left w:val="nil"/>
              <w:bottom w:val="single" w:sz="8" w:space="0" w:color="auto"/>
              <w:right w:val="single" w:sz="4" w:space="0" w:color="auto"/>
            </w:tcBorders>
            <w:shd w:val="clear" w:color="auto" w:fill="auto"/>
            <w:noWrap/>
            <w:vAlign w:val="bottom"/>
            <w:hideMark/>
          </w:tcPr>
          <w:p w14:paraId="5B230534"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5.16%</w:t>
            </w:r>
          </w:p>
        </w:tc>
        <w:tc>
          <w:tcPr>
            <w:tcW w:w="1184" w:type="dxa"/>
            <w:tcBorders>
              <w:top w:val="nil"/>
              <w:left w:val="nil"/>
              <w:bottom w:val="single" w:sz="8" w:space="0" w:color="auto"/>
              <w:right w:val="nil"/>
            </w:tcBorders>
            <w:shd w:val="clear" w:color="auto" w:fill="auto"/>
            <w:noWrap/>
            <w:vAlign w:val="bottom"/>
            <w:hideMark/>
          </w:tcPr>
          <w:p w14:paraId="698B884F"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11.01%</w:t>
            </w:r>
          </w:p>
        </w:tc>
        <w:tc>
          <w:tcPr>
            <w:tcW w:w="1426" w:type="dxa"/>
            <w:tcBorders>
              <w:top w:val="nil"/>
              <w:left w:val="single" w:sz="8" w:space="0" w:color="auto"/>
              <w:bottom w:val="single" w:sz="8" w:space="0" w:color="auto"/>
              <w:right w:val="single" w:sz="8" w:space="0" w:color="auto"/>
            </w:tcBorders>
            <w:shd w:val="clear" w:color="auto" w:fill="auto"/>
            <w:noWrap/>
            <w:vAlign w:val="center"/>
            <w:hideMark/>
          </w:tcPr>
          <w:p w14:paraId="28F93889" w14:textId="77777777" w:rsidR="00454C89" w:rsidRPr="00454C89" w:rsidRDefault="00454C89" w:rsidP="00454C89">
            <w:pPr>
              <w:spacing w:line="240" w:lineRule="auto"/>
              <w:jc w:val="center"/>
              <w:rPr>
                <w:rFonts w:ascii="Calibri" w:hAnsi="Calibri" w:cs="Calibri"/>
                <w:color w:val="000000"/>
                <w:sz w:val="22"/>
                <w:szCs w:val="22"/>
              </w:rPr>
            </w:pPr>
            <w:r w:rsidRPr="00454C89">
              <w:rPr>
                <w:rFonts w:ascii="Calibri" w:hAnsi="Calibri" w:cs="Calibri"/>
                <w:color w:val="000000"/>
                <w:sz w:val="22"/>
                <w:szCs w:val="22"/>
              </w:rPr>
              <w:t>1.0516</w:t>
            </w:r>
          </w:p>
        </w:tc>
      </w:tr>
    </w:tbl>
    <w:p w14:paraId="7FA77D18" w14:textId="2814CD90" w:rsidR="004B49A6" w:rsidRPr="00F81368" w:rsidRDefault="004B49A6" w:rsidP="00F77FF1">
      <w:pPr>
        <w:rPr>
          <w:rFonts w:cs="Arial"/>
          <w:szCs w:val="24"/>
        </w:rPr>
      </w:pPr>
    </w:p>
    <w:p w14:paraId="09F95ED9" w14:textId="3D8FD00C" w:rsidR="004B49A6" w:rsidRPr="00574669" w:rsidRDefault="00472322" w:rsidP="00F77FF1">
      <w:pPr>
        <w:rPr>
          <w:szCs w:val="24"/>
        </w:rPr>
      </w:pPr>
      <w:r>
        <w:rPr>
          <w:szCs w:val="24"/>
        </w:rPr>
        <w:t>Using this distribution, t</w:t>
      </w:r>
      <w:r w:rsidRPr="00421157">
        <w:rPr>
          <w:szCs w:val="24"/>
        </w:rPr>
        <w:t xml:space="preserve">he </w:t>
      </w:r>
      <w:r w:rsidR="004B49A6" w:rsidRPr="00421157">
        <w:rPr>
          <w:szCs w:val="24"/>
        </w:rPr>
        <w:t xml:space="preserve">minimum and maximum </w:t>
      </w:r>
      <w:r>
        <w:rPr>
          <w:szCs w:val="24"/>
        </w:rPr>
        <w:t xml:space="preserve">LFE </w:t>
      </w:r>
      <w:r w:rsidR="004B49A6" w:rsidRPr="00421157">
        <w:rPr>
          <w:szCs w:val="24"/>
        </w:rPr>
        <w:t xml:space="preserve">values used in this study </w:t>
      </w:r>
      <w:r w:rsidR="004B49A6" w:rsidRPr="00574669">
        <w:rPr>
          <w:szCs w:val="24"/>
        </w:rPr>
        <w:t xml:space="preserve">are </w:t>
      </w:r>
      <w:r w:rsidR="00454C89">
        <w:rPr>
          <w:szCs w:val="24"/>
        </w:rPr>
        <w:t>5.16</w:t>
      </w:r>
      <w:r w:rsidR="00D64EE1">
        <w:rPr>
          <w:szCs w:val="24"/>
        </w:rPr>
        <w:t>%</w:t>
      </w:r>
      <w:r w:rsidR="005824F3">
        <w:rPr>
          <w:szCs w:val="24"/>
        </w:rPr>
        <w:t xml:space="preserve"> (under-forecast)</w:t>
      </w:r>
      <w:r w:rsidR="004B49A6" w:rsidRPr="00574669">
        <w:rPr>
          <w:szCs w:val="24"/>
        </w:rPr>
        <w:t xml:space="preserve"> and </w:t>
      </w:r>
      <w:r w:rsidR="00175EEE">
        <w:rPr>
          <w:szCs w:val="24"/>
        </w:rPr>
        <w:t>-</w:t>
      </w:r>
      <w:r w:rsidR="00454C89">
        <w:rPr>
          <w:szCs w:val="24"/>
        </w:rPr>
        <w:t>6.12</w:t>
      </w:r>
      <w:r w:rsidR="00D64EE1">
        <w:rPr>
          <w:szCs w:val="24"/>
        </w:rPr>
        <w:t>%</w:t>
      </w:r>
      <w:r w:rsidR="005824F3">
        <w:rPr>
          <w:szCs w:val="24"/>
        </w:rPr>
        <w:t xml:space="preserve"> (over-forecast)</w:t>
      </w:r>
      <w:r w:rsidR="004B49A6" w:rsidRPr="00574669">
        <w:rPr>
          <w:szCs w:val="24"/>
        </w:rPr>
        <w:t xml:space="preserve"> of the expected value, respectively. </w:t>
      </w:r>
    </w:p>
    <w:bookmarkEnd w:id="89"/>
    <w:p w14:paraId="3EB86E91" w14:textId="77777777" w:rsidR="004B49A6" w:rsidRPr="00574669" w:rsidRDefault="004B49A6" w:rsidP="00F77FF1">
      <w:pPr>
        <w:rPr>
          <w:szCs w:val="24"/>
        </w:rPr>
      </w:pPr>
    </w:p>
    <w:p w14:paraId="4476924F" w14:textId="1D46F65B" w:rsidR="004B49A6" w:rsidRPr="00574669" w:rsidRDefault="004B49A6" w:rsidP="00C56A27">
      <w:pPr>
        <w:pStyle w:val="Heading2"/>
        <w:numPr>
          <w:ilvl w:val="1"/>
          <w:numId w:val="13"/>
        </w:numPr>
        <w:ind w:left="360"/>
      </w:pPr>
      <w:bookmarkStart w:id="97" w:name="_Toc513710332"/>
      <w:bookmarkStart w:id="98" w:name="_Toc187234593"/>
      <w:bookmarkStart w:id="99" w:name="_Hlk79564001"/>
      <w:r w:rsidRPr="00574669">
        <w:t>Generating Unit Capacity Ratings</w:t>
      </w:r>
      <w:bookmarkEnd w:id="97"/>
      <w:bookmarkEnd w:id="98"/>
    </w:p>
    <w:p w14:paraId="0DC590A9" w14:textId="0B6C3D3C" w:rsidR="005C7E11" w:rsidRDefault="00124EB7" w:rsidP="005C7E11">
      <w:pPr>
        <w:rPr>
          <w:szCs w:val="24"/>
        </w:rPr>
      </w:pPr>
      <w:r>
        <w:rPr>
          <w:szCs w:val="24"/>
        </w:rPr>
        <w:t>U</w:t>
      </w:r>
      <w:r w:rsidR="004B49A6" w:rsidRPr="00574669">
        <w:rPr>
          <w:szCs w:val="24"/>
        </w:rPr>
        <w:t>nit ratings</w:t>
      </w:r>
      <w:r>
        <w:rPr>
          <w:szCs w:val="24"/>
        </w:rPr>
        <w:t xml:space="preserve"> are traditionally established</w:t>
      </w:r>
      <w:r w:rsidR="004B49A6" w:rsidRPr="00574669">
        <w:rPr>
          <w:szCs w:val="24"/>
        </w:rPr>
        <w:t xml:space="preserve"> for</w:t>
      </w:r>
      <w:r w:rsidR="00D744DA">
        <w:rPr>
          <w:szCs w:val="24"/>
        </w:rPr>
        <w:t xml:space="preserve"> both</w:t>
      </w:r>
      <w:r w:rsidR="004B49A6" w:rsidRPr="00574669">
        <w:rPr>
          <w:szCs w:val="24"/>
        </w:rPr>
        <w:t xml:space="preserve"> the </w:t>
      </w:r>
      <w:r w:rsidR="00D744DA">
        <w:rPr>
          <w:szCs w:val="24"/>
        </w:rPr>
        <w:t>summer and winter seasons</w:t>
      </w:r>
      <w:r w:rsidR="004B49A6" w:rsidRPr="00574669">
        <w:rPr>
          <w:szCs w:val="24"/>
        </w:rPr>
        <w:t>. Summer ratings are generally established to correspond to</w:t>
      </w:r>
      <w:r w:rsidR="00FD0FC2">
        <w:rPr>
          <w:szCs w:val="24"/>
        </w:rPr>
        <w:t xml:space="preserve"> maximum</w:t>
      </w:r>
      <w:r w:rsidR="004B49A6" w:rsidRPr="00574669">
        <w:rPr>
          <w:szCs w:val="24"/>
        </w:rPr>
        <w:t xml:space="preserve"> output </w:t>
      </w:r>
      <w:r w:rsidR="00400C5C">
        <w:rPr>
          <w:szCs w:val="24"/>
        </w:rPr>
        <w:t>at</w:t>
      </w:r>
      <w:r w:rsidR="004B49A6" w:rsidRPr="00574669">
        <w:rPr>
          <w:szCs w:val="24"/>
        </w:rPr>
        <w:t xml:space="preserve"> 95</w:t>
      </w:r>
      <w:r w:rsidR="004B49A6" w:rsidRPr="00574669">
        <w:rPr>
          <w:rFonts w:cs="Arial"/>
          <w:szCs w:val="24"/>
        </w:rPr>
        <w:t>º</w:t>
      </w:r>
      <w:r w:rsidR="004B49A6" w:rsidRPr="00574669">
        <w:rPr>
          <w:szCs w:val="24"/>
        </w:rPr>
        <w:t xml:space="preserve">F ambient temperatures. </w:t>
      </w:r>
      <w:r w:rsidR="005C7E11" w:rsidRPr="00574669">
        <w:rPr>
          <w:szCs w:val="24"/>
        </w:rPr>
        <w:t>Winter ratings for nuclear and steam units are generally unchanged from the summer ratings</w:t>
      </w:r>
      <w:r w:rsidR="00283352">
        <w:rPr>
          <w:szCs w:val="24"/>
        </w:rPr>
        <w:t xml:space="preserve"> except for some </w:t>
      </w:r>
      <w:r w:rsidR="007A3EFE">
        <w:rPr>
          <w:szCs w:val="24"/>
        </w:rPr>
        <w:t>coal and gas steam units that have limited</w:t>
      </w:r>
      <w:r w:rsidR="00C93418">
        <w:rPr>
          <w:szCs w:val="24"/>
        </w:rPr>
        <w:t>-</w:t>
      </w:r>
      <w:r w:rsidR="003F56EC">
        <w:rPr>
          <w:szCs w:val="24"/>
        </w:rPr>
        <w:t>duration</w:t>
      </w:r>
      <w:r w:rsidR="007A3EFE">
        <w:rPr>
          <w:szCs w:val="24"/>
        </w:rPr>
        <w:t xml:space="preserve"> peaking capacity</w:t>
      </w:r>
      <w:r w:rsidR="005C7E11" w:rsidRPr="00574669">
        <w:rPr>
          <w:szCs w:val="24"/>
        </w:rPr>
        <w:t xml:space="preserve">. </w:t>
      </w:r>
      <w:r w:rsidR="00C973F5">
        <w:rPr>
          <w:szCs w:val="24"/>
        </w:rPr>
        <w:t>W</w:t>
      </w:r>
      <w:r w:rsidR="005C7E11" w:rsidRPr="00574669">
        <w:rPr>
          <w:szCs w:val="24"/>
        </w:rPr>
        <w:t xml:space="preserve">inter ratings for CT and CC resources </w:t>
      </w:r>
      <w:r w:rsidR="005A6536" w:rsidRPr="00574669">
        <w:rPr>
          <w:szCs w:val="24"/>
        </w:rPr>
        <w:t>can vary significantly depending upon the ambient temperature</w:t>
      </w:r>
      <w:r w:rsidR="005A6536">
        <w:rPr>
          <w:szCs w:val="24"/>
        </w:rPr>
        <w:t xml:space="preserve"> and contracted firm fuel transportation</w:t>
      </w:r>
      <w:r w:rsidR="00FE246C">
        <w:rPr>
          <w:szCs w:val="24"/>
        </w:rPr>
        <w:t>,</w:t>
      </w:r>
      <w:r w:rsidR="005A6536" w:rsidRPr="00574669">
        <w:rPr>
          <w:szCs w:val="24"/>
        </w:rPr>
        <w:t xml:space="preserve"> </w:t>
      </w:r>
      <w:r w:rsidR="005A6536">
        <w:rPr>
          <w:szCs w:val="24"/>
        </w:rPr>
        <w:t>but generally</w:t>
      </w:r>
      <w:r w:rsidR="005C7E11" w:rsidRPr="00574669">
        <w:rPr>
          <w:szCs w:val="24"/>
        </w:rPr>
        <w:t xml:space="preserve"> correspond to </w:t>
      </w:r>
      <w:r w:rsidR="00645452">
        <w:rPr>
          <w:szCs w:val="24"/>
        </w:rPr>
        <w:t xml:space="preserve">maximum </w:t>
      </w:r>
      <w:r w:rsidR="005C7E11" w:rsidRPr="00574669">
        <w:rPr>
          <w:szCs w:val="24"/>
        </w:rPr>
        <w:t>output at</w:t>
      </w:r>
      <w:r w:rsidR="005A6536">
        <w:rPr>
          <w:szCs w:val="24"/>
        </w:rPr>
        <w:t xml:space="preserve"> </w:t>
      </w:r>
      <w:r w:rsidR="005C7E11" w:rsidRPr="00574669">
        <w:rPr>
          <w:szCs w:val="24"/>
        </w:rPr>
        <w:t>40</w:t>
      </w:r>
      <w:r w:rsidR="005C7E11" w:rsidRPr="00574669">
        <w:rPr>
          <w:rFonts w:cs="Arial"/>
          <w:szCs w:val="24"/>
        </w:rPr>
        <w:t>º</w:t>
      </w:r>
      <w:r w:rsidR="005C7E11" w:rsidRPr="00574669">
        <w:rPr>
          <w:szCs w:val="24"/>
        </w:rPr>
        <w:t>F ambient temperature</w:t>
      </w:r>
      <w:r w:rsidR="005A6536">
        <w:rPr>
          <w:szCs w:val="24"/>
        </w:rPr>
        <w:t>s</w:t>
      </w:r>
      <w:r w:rsidR="005C7E11" w:rsidRPr="00574669">
        <w:rPr>
          <w:szCs w:val="24"/>
        </w:rPr>
        <w:t>.</w:t>
      </w:r>
      <w:r w:rsidR="005C7E11" w:rsidRPr="005C7E11">
        <w:rPr>
          <w:szCs w:val="24"/>
        </w:rPr>
        <w:t xml:space="preserve"> </w:t>
      </w:r>
      <w:r w:rsidR="005C7E11">
        <w:rPr>
          <w:szCs w:val="24"/>
        </w:rPr>
        <w:t xml:space="preserve">Nevertheless, </w:t>
      </w:r>
      <w:r w:rsidR="005C7E11" w:rsidRPr="00574669">
        <w:rPr>
          <w:szCs w:val="24"/>
        </w:rPr>
        <w:t>SERVM</w:t>
      </w:r>
      <w:r w:rsidR="005C7E11">
        <w:rPr>
          <w:szCs w:val="24"/>
        </w:rPr>
        <w:t xml:space="preserve"> has features that </w:t>
      </w:r>
      <w:r w:rsidR="00D22EF2">
        <w:rPr>
          <w:szCs w:val="24"/>
        </w:rPr>
        <w:t>use</w:t>
      </w:r>
      <w:r w:rsidR="005C7E11" w:rsidRPr="00574669">
        <w:rPr>
          <w:szCs w:val="24"/>
        </w:rPr>
        <w:t xml:space="preserve"> ambient temperature curves </w:t>
      </w:r>
      <w:r w:rsidR="00D22EF2">
        <w:rPr>
          <w:szCs w:val="24"/>
        </w:rPr>
        <w:t xml:space="preserve">to determine </w:t>
      </w:r>
      <w:r w:rsidR="00DE6125">
        <w:rPr>
          <w:szCs w:val="24"/>
        </w:rPr>
        <w:t xml:space="preserve">maximum output </w:t>
      </w:r>
      <w:r w:rsidR="005C7E11" w:rsidRPr="00574669">
        <w:rPr>
          <w:szCs w:val="24"/>
        </w:rPr>
        <w:t>at the simulated system temperature</w:t>
      </w:r>
      <w:r w:rsidR="00DE6125">
        <w:rPr>
          <w:szCs w:val="24"/>
        </w:rPr>
        <w:t>s</w:t>
      </w:r>
      <w:r w:rsidR="005C7E11" w:rsidRPr="00574669">
        <w:rPr>
          <w:szCs w:val="24"/>
        </w:rPr>
        <w:t xml:space="preserve">. </w:t>
      </w:r>
      <w:r w:rsidR="00D63E1F">
        <w:rPr>
          <w:szCs w:val="24"/>
        </w:rPr>
        <w:fldChar w:fldCharType="begin"/>
      </w:r>
      <w:r w:rsidR="00D63E1F">
        <w:rPr>
          <w:szCs w:val="24"/>
        </w:rPr>
        <w:instrText xml:space="preserve"> REF _Ref513785662 \h </w:instrText>
      </w:r>
      <w:r w:rsidR="00D63E1F">
        <w:rPr>
          <w:szCs w:val="24"/>
        </w:rPr>
      </w:r>
      <w:r w:rsidR="00D63E1F">
        <w:rPr>
          <w:szCs w:val="24"/>
        </w:rPr>
        <w:fldChar w:fldCharType="separate"/>
      </w:r>
      <w:r w:rsidR="00161C58">
        <w:t xml:space="preserve">Figure </w:t>
      </w:r>
      <w:r w:rsidR="00161C58">
        <w:rPr>
          <w:noProof/>
        </w:rPr>
        <w:t>I</w:t>
      </w:r>
      <w:r w:rsidR="00161C58">
        <w:t>.</w:t>
      </w:r>
      <w:r w:rsidR="00161C58">
        <w:rPr>
          <w:noProof/>
        </w:rPr>
        <w:t>7</w:t>
      </w:r>
      <w:r w:rsidR="00D63E1F">
        <w:rPr>
          <w:szCs w:val="24"/>
        </w:rPr>
        <w:fldChar w:fldCharType="end"/>
      </w:r>
      <w:r w:rsidR="00D63E1F">
        <w:rPr>
          <w:szCs w:val="24"/>
        </w:rPr>
        <w:t xml:space="preserve"> </w:t>
      </w:r>
      <w:r w:rsidR="005C7E11" w:rsidRPr="00574669">
        <w:rPr>
          <w:szCs w:val="24"/>
        </w:rPr>
        <w:t xml:space="preserve">below shows the ambient temperature curves (on a per unit output basis) that were </w:t>
      </w:r>
      <w:r w:rsidR="00283E56">
        <w:rPr>
          <w:szCs w:val="24"/>
        </w:rPr>
        <w:t>applied</w:t>
      </w:r>
      <w:r w:rsidR="00283E56" w:rsidRPr="00574669">
        <w:rPr>
          <w:szCs w:val="24"/>
        </w:rPr>
        <w:t xml:space="preserve"> </w:t>
      </w:r>
      <w:r w:rsidR="005C7E11" w:rsidRPr="00574669">
        <w:rPr>
          <w:szCs w:val="24"/>
        </w:rPr>
        <w:t>within SERVM.</w:t>
      </w:r>
      <w:r w:rsidR="005C7E11">
        <w:rPr>
          <w:rStyle w:val="FootnoteReference"/>
          <w:szCs w:val="24"/>
        </w:rPr>
        <w:footnoteReference w:id="10"/>
      </w:r>
      <w:r w:rsidR="00A648A6">
        <w:rPr>
          <w:szCs w:val="24"/>
        </w:rPr>
        <w:t xml:space="preserve"> </w:t>
      </w:r>
    </w:p>
    <w:bookmarkEnd w:id="99"/>
    <w:p w14:paraId="13D7AE2E" w14:textId="6F4B6A93" w:rsidR="004B49A6" w:rsidRPr="00574669" w:rsidRDefault="004B49A6" w:rsidP="00F77FF1">
      <w:pPr>
        <w:rPr>
          <w:szCs w:val="24"/>
        </w:rPr>
      </w:pPr>
    </w:p>
    <w:p w14:paraId="5441C724" w14:textId="34DDF2D9" w:rsidR="004B49A6" w:rsidRPr="00574669" w:rsidRDefault="005824F3" w:rsidP="00F77FF1">
      <w:pPr>
        <w:rPr>
          <w:szCs w:val="24"/>
        </w:rPr>
      </w:pPr>
      <w:r>
        <w:rPr>
          <w:noProof/>
          <w:szCs w:val="24"/>
        </w:rPr>
        <w:drawing>
          <wp:inline distT="0" distB="0" distL="0" distR="0" wp14:anchorId="04ABF785" wp14:editId="790416EE">
            <wp:extent cx="5887720" cy="4273039"/>
            <wp:effectExtent l="0" t="0" r="0" b="0"/>
            <wp:docPr id="11878507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94163" cy="4277715"/>
                    </a:xfrm>
                    <a:prstGeom prst="rect">
                      <a:avLst/>
                    </a:prstGeom>
                    <a:noFill/>
                  </pic:spPr>
                </pic:pic>
              </a:graphicData>
            </a:graphic>
          </wp:inline>
        </w:drawing>
      </w:r>
    </w:p>
    <w:p w14:paraId="60612969" w14:textId="087D5D42" w:rsidR="005824F3" w:rsidRDefault="0053151C" w:rsidP="005824F3">
      <w:pPr>
        <w:pStyle w:val="Caption"/>
        <w:jc w:val="both"/>
      </w:pPr>
      <w:bookmarkStart w:id="100" w:name="_Ref513785662"/>
      <w:bookmarkStart w:id="101" w:name="_Toc513710584"/>
      <w:bookmarkStart w:id="102" w:name="_Toc187234667"/>
      <w:r>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7</w:t>
      </w:r>
      <w:r w:rsidR="00F262E6">
        <w:fldChar w:fldCharType="end"/>
      </w:r>
      <w:bookmarkEnd w:id="100"/>
      <w:r>
        <w:t>. Ambient Temperature Output Curves</w:t>
      </w:r>
      <w:bookmarkStart w:id="103" w:name="_Toc440262198"/>
      <w:bookmarkStart w:id="104" w:name="_Toc440447871"/>
      <w:bookmarkStart w:id="105" w:name="_Toc440457920"/>
      <w:bookmarkStart w:id="106" w:name="_Toc513710333"/>
      <w:bookmarkEnd w:id="101"/>
      <w:bookmarkEnd w:id="102"/>
    </w:p>
    <w:p w14:paraId="21610B9F" w14:textId="77777777" w:rsidR="00064FC1" w:rsidRDefault="00064FC1" w:rsidP="005824F3"/>
    <w:p w14:paraId="3256B327" w14:textId="0DAB27F6" w:rsidR="00810064" w:rsidRDefault="00810064" w:rsidP="046F22F9">
      <w:r>
        <w:t xml:space="preserve">Total </w:t>
      </w:r>
      <w:r w:rsidR="00064FC1">
        <w:t xml:space="preserve">modeled </w:t>
      </w:r>
      <w:r w:rsidR="139471A5">
        <w:t>S</w:t>
      </w:r>
      <w:r>
        <w:t>ystem capacity by technology and season</w:t>
      </w:r>
      <w:r w:rsidR="00064FC1">
        <w:t xml:space="preserve"> for 2028</w:t>
      </w:r>
      <w:r>
        <w:t xml:space="preserve"> is detailed in </w:t>
      </w:r>
      <w:r>
        <w:fldChar w:fldCharType="begin"/>
      </w:r>
      <w:r>
        <w:instrText xml:space="preserve"> REF _Ref165555834 \h </w:instrText>
      </w:r>
      <w:r>
        <w:fldChar w:fldCharType="separate"/>
      </w:r>
      <w:r>
        <w:t xml:space="preserve">Table </w:t>
      </w:r>
      <w:r>
        <w:rPr>
          <w:noProof/>
        </w:rPr>
        <w:t>I</w:t>
      </w:r>
      <w:r>
        <w:noBreakHyphen/>
      </w:r>
      <w:r>
        <w:rPr>
          <w:noProof/>
        </w:rPr>
        <w:t>5</w:t>
      </w:r>
      <w:r>
        <w:fldChar w:fldCharType="end"/>
      </w:r>
      <w:r>
        <w:t xml:space="preserve"> below</w:t>
      </w:r>
      <w:r w:rsidR="00064FC1">
        <w:t>.</w:t>
      </w:r>
      <w:r w:rsidR="00283352">
        <w:t xml:space="preserve"> </w:t>
      </w:r>
      <w:r w:rsidR="003F56EC">
        <w:t>S</w:t>
      </w:r>
      <w:r w:rsidR="00283352">
        <w:t>olar</w:t>
      </w:r>
      <w:r w:rsidR="003D4B4D">
        <w:t>,</w:t>
      </w:r>
      <w:r w:rsidR="00283352">
        <w:t xml:space="preserve"> wind, and demand response resource totals represent recognized capacity</w:t>
      </w:r>
      <w:r w:rsidR="001B14E7">
        <w:t xml:space="preserve"> </w:t>
      </w:r>
      <w:r w:rsidR="2292ED51">
        <w:t>after applying a</w:t>
      </w:r>
      <w:r w:rsidR="001B14E7">
        <w:t xml:space="preserve"> </w:t>
      </w:r>
      <w:r w:rsidR="7DA5B47C">
        <w:t>single,</w:t>
      </w:r>
      <w:r w:rsidR="1F45E049">
        <w:t xml:space="preserve"> </w:t>
      </w:r>
      <w:r w:rsidR="001B14E7">
        <w:t xml:space="preserve">aggregate System </w:t>
      </w:r>
      <w:r w:rsidR="00837BAF">
        <w:t xml:space="preserve">Effective Load Carrying Capacity </w:t>
      </w:r>
      <w:r w:rsidR="6176E6BF">
        <w:t>(</w:t>
      </w:r>
      <w:r w:rsidR="2CB79491">
        <w:t>“</w:t>
      </w:r>
      <w:r w:rsidR="001B14E7">
        <w:t>ELCC</w:t>
      </w:r>
      <w:r w:rsidR="424F4F2F">
        <w:t>”</w:t>
      </w:r>
      <w:r w:rsidR="6176E6BF">
        <w:t>)</w:t>
      </w:r>
      <w:r w:rsidR="001B14E7">
        <w:t xml:space="preserve"> value</w:t>
      </w:r>
      <w:r w:rsidR="3942330A">
        <w:t>.</w:t>
      </w:r>
      <w:r w:rsidR="001B14E7">
        <w:t xml:space="preserve"> </w:t>
      </w:r>
      <w:r w:rsidR="37F5D744">
        <w:t>This</w:t>
      </w:r>
      <w:r w:rsidR="001B14E7">
        <w:t xml:space="preserve"> aggregate ELCC value was </w:t>
      </w:r>
      <w:r w:rsidR="57D36BC9">
        <w:t>derived during model setup and calibration</w:t>
      </w:r>
      <w:r w:rsidR="1F45E049">
        <w:t xml:space="preserve"> </w:t>
      </w:r>
      <w:r w:rsidR="001B14E7">
        <w:t>to capture</w:t>
      </w:r>
      <w:r w:rsidR="00C93418">
        <w:t xml:space="preserve"> any</w:t>
      </w:r>
      <w:r w:rsidR="001B14E7">
        <w:t xml:space="preserve"> synergies</w:t>
      </w:r>
      <w:r w:rsidR="00C93418">
        <w:t xml:space="preserve"> that may exist</w:t>
      </w:r>
      <w:r w:rsidR="001B14E7">
        <w:t xml:space="preserve"> between multiple renewable technologies and demand side resources.</w:t>
      </w:r>
      <w:r w:rsidR="00A648A6">
        <w:t xml:space="preserve"> </w:t>
      </w:r>
      <w:r w:rsidR="470CE799">
        <w:t xml:space="preserve">In general, ELCC factors represent the capacity value of </w:t>
      </w:r>
      <w:r w:rsidR="0B967087">
        <w:t>resourc</w:t>
      </w:r>
      <w:r w:rsidR="470CE799">
        <w:t xml:space="preserve">es relative to the value of incremental load that can be added to the system. </w:t>
      </w:r>
      <w:r w:rsidR="4440FE93">
        <w:t>Hydro capacity represents the average historical maximum capacity across the 50 modeled weather years.</w:t>
      </w:r>
    </w:p>
    <w:p w14:paraId="100C114A" w14:textId="2AC48D3D" w:rsidR="00810064" w:rsidRDefault="00810064" w:rsidP="005824F3"/>
    <w:p w14:paraId="2C5C8F1D" w14:textId="77777777" w:rsidR="00810064" w:rsidRDefault="00810064" w:rsidP="005824F3"/>
    <w:p w14:paraId="059ADE4C" w14:textId="77777777" w:rsidR="00283352" w:rsidRDefault="00283352" w:rsidP="005824F3"/>
    <w:p w14:paraId="16D03CD7" w14:textId="77777777" w:rsidR="00064FC1" w:rsidRDefault="00064FC1" w:rsidP="005824F3"/>
    <w:p w14:paraId="35755C5A" w14:textId="1C760D76" w:rsidR="00810064" w:rsidRDefault="00810064" w:rsidP="00810064">
      <w:pPr>
        <w:pStyle w:val="Caption"/>
        <w:keepNext/>
      </w:pPr>
      <w:bookmarkStart w:id="107" w:name="_Ref165555834"/>
      <w:bookmarkStart w:id="108" w:name="_Ref165555828"/>
      <w:bookmarkStart w:id="109" w:name="_Toc187234640"/>
      <w:r>
        <w:t xml:space="preserve">Table </w:t>
      </w:r>
      <w:r>
        <w:fldChar w:fldCharType="begin"/>
      </w:r>
      <w:r>
        <w:instrText xml:space="preserve"> STYLEREF 1 \s </w:instrText>
      </w:r>
      <w:r>
        <w:fldChar w:fldCharType="separate"/>
      </w:r>
      <w:r>
        <w:rPr>
          <w:noProof/>
        </w:rPr>
        <w:t>I</w:t>
      </w:r>
      <w:r>
        <w:rPr>
          <w:noProof/>
        </w:rPr>
        <w:fldChar w:fldCharType="end"/>
      </w:r>
      <w:r>
        <w:noBreakHyphen/>
      </w:r>
      <w:r>
        <w:fldChar w:fldCharType="begin"/>
      </w:r>
      <w:r>
        <w:instrText xml:space="preserve"> SEQ Table \* ARABIC \s 1 </w:instrText>
      </w:r>
      <w:r>
        <w:fldChar w:fldCharType="separate"/>
      </w:r>
      <w:r>
        <w:rPr>
          <w:noProof/>
        </w:rPr>
        <w:t>5</w:t>
      </w:r>
      <w:r>
        <w:rPr>
          <w:noProof/>
        </w:rPr>
        <w:fldChar w:fldCharType="end"/>
      </w:r>
      <w:bookmarkEnd w:id="107"/>
      <w:r>
        <w:t xml:space="preserve">. </w:t>
      </w:r>
      <w:r w:rsidR="003F56EC">
        <w:t>2028 Modeled</w:t>
      </w:r>
      <w:r>
        <w:t xml:space="preserve"> System Capacity</w:t>
      </w:r>
      <w:r w:rsidR="003F56EC">
        <w:t xml:space="preserve"> </w:t>
      </w:r>
      <w:r>
        <w:t>by Technology</w:t>
      </w:r>
      <w:bookmarkEnd w:id="108"/>
      <w:bookmarkEnd w:id="109"/>
    </w:p>
    <w:tbl>
      <w:tblPr>
        <w:tblW w:w="5420" w:type="dxa"/>
        <w:jc w:val="center"/>
        <w:tblLook w:val="04A0" w:firstRow="1" w:lastRow="0" w:firstColumn="1" w:lastColumn="0" w:noHBand="0" w:noVBand="1"/>
      </w:tblPr>
      <w:tblGrid>
        <w:gridCol w:w="2100"/>
        <w:gridCol w:w="1660"/>
        <w:gridCol w:w="1660"/>
      </w:tblGrid>
      <w:tr w:rsidR="007A3EFE" w:rsidRPr="007A3EFE" w14:paraId="675F8168" w14:textId="77777777" w:rsidTr="00FD55A8">
        <w:trPr>
          <w:trHeight w:val="315"/>
          <w:jc w:val="center"/>
        </w:trPr>
        <w:tc>
          <w:tcPr>
            <w:tcW w:w="210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2E28C6B7" w14:textId="77777777" w:rsidR="007A3EFE" w:rsidRPr="00950350" w:rsidRDefault="007A3EFE" w:rsidP="007A3EFE">
            <w:pPr>
              <w:spacing w:line="240" w:lineRule="auto"/>
              <w:jc w:val="left"/>
              <w:rPr>
                <w:rFonts w:ascii="Calibri" w:hAnsi="Calibri" w:cs="Calibri"/>
                <w:b/>
                <w:bCs/>
                <w:color w:val="000000"/>
                <w:sz w:val="22"/>
                <w:szCs w:val="22"/>
              </w:rPr>
            </w:pPr>
            <w:r w:rsidRPr="00950350">
              <w:rPr>
                <w:rFonts w:ascii="Calibri" w:hAnsi="Calibri" w:cs="Calibri"/>
                <w:b/>
                <w:bCs/>
                <w:color w:val="000000"/>
                <w:sz w:val="22"/>
                <w:szCs w:val="22"/>
              </w:rPr>
              <w:t>Technology</w:t>
            </w:r>
          </w:p>
        </w:tc>
        <w:tc>
          <w:tcPr>
            <w:tcW w:w="1660" w:type="dxa"/>
            <w:tcBorders>
              <w:top w:val="single" w:sz="8" w:space="0" w:color="auto"/>
              <w:left w:val="nil"/>
              <w:bottom w:val="single" w:sz="8" w:space="0" w:color="auto"/>
              <w:right w:val="single" w:sz="4" w:space="0" w:color="auto"/>
            </w:tcBorders>
            <w:shd w:val="clear" w:color="auto" w:fill="auto"/>
            <w:noWrap/>
            <w:vAlign w:val="bottom"/>
            <w:hideMark/>
          </w:tcPr>
          <w:p w14:paraId="6D5C27E1" w14:textId="77777777" w:rsidR="007A3EFE" w:rsidRPr="00950350" w:rsidRDefault="007A3EFE" w:rsidP="007A3EFE">
            <w:pPr>
              <w:spacing w:line="240" w:lineRule="auto"/>
              <w:jc w:val="center"/>
              <w:rPr>
                <w:rFonts w:ascii="Calibri" w:hAnsi="Calibri" w:cs="Calibri"/>
                <w:b/>
                <w:bCs/>
                <w:color w:val="000000"/>
                <w:sz w:val="22"/>
                <w:szCs w:val="22"/>
              </w:rPr>
            </w:pPr>
            <w:r w:rsidRPr="00950350">
              <w:rPr>
                <w:rFonts w:ascii="Calibri" w:hAnsi="Calibri" w:cs="Calibri"/>
                <w:b/>
                <w:bCs/>
                <w:color w:val="000000"/>
                <w:sz w:val="22"/>
                <w:szCs w:val="22"/>
              </w:rPr>
              <w:t>Summer</w:t>
            </w:r>
          </w:p>
        </w:tc>
        <w:tc>
          <w:tcPr>
            <w:tcW w:w="1660" w:type="dxa"/>
            <w:tcBorders>
              <w:top w:val="single" w:sz="8" w:space="0" w:color="auto"/>
              <w:left w:val="nil"/>
              <w:bottom w:val="single" w:sz="8" w:space="0" w:color="auto"/>
              <w:right w:val="single" w:sz="8" w:space="0" w:color="auto"/>
            </w:tcBorders>
            <w:shd w:val="clear" w:color="auto" w:fill="auto"/>
            <w:noWrap/>
            <w:vAlign w:val="bottom"/>
            <w:hideMark/>
          </w:tcPr>
          <w:p w14:paraId="0372D4EF" w14:textId="77777777" w:rsidR="007A3EFE" w:rsidRPr="00950350" w:rsidRDefault="007A3EFE" w:rsidP="007A3EFE">
            <w:pPr>
              <w:spacing w:line="240" w:lineRule="auto"/>
              <w:jc w:val="center"/>
              <w:rPr>
                <w:rFonts w:ascii="Calibri" w:hAnsi="Calibri" w:cs="Calibri"/>
                <w:b/>
                <w:bCs/>
                <w:color w:val="000000"/>
                <w:sz w:val="22"/>
                <w:szCs w:val="22"/>
              </w:rPr>
            </w:pPr>
            <w:r w:rsidRPr="00950350">
              <w:rPr>
                <w:rFonts w:ascii="Calibri" w:hAnsi="Calibri" w:cs="Calibri"/>
                <w:b/>
                <w:bCs/>
                <w:color w:val="000000"/>
                <w:sz w:val="22"/>
                <w:szCs w:val="22"/>
              </w:rPr>
              <w:t>Winter</w:t>
            </w:r>
          </w:p>
        </w:tc>
      </w:tr>
      <w:tr w:rsidR="007A3EFE" w:rsidRPr="007A3EFE" w14:paraId="7B7C2A9C" w14:textId="77777777" w:rsidTr="00FD55A8">
        <w:trPr>
          <w:trHeight w:val="300"/>
          <w:jc w:val="center"/>
        </w:trPr>
        <w:tc>
          <w:tcPr>
            <w:tcW w:w="2100" w:type="dxa"/>
            <w:tcBorders>
              <w:top w:val="nil"/>
              <w:left w:val="single" w:sz="8" w:space="0" w:color="auto"/>
              <w:bottom w:val="single" w:sz="4" w:space="0" w:color="auto"/>
              <w:right w:val="single" w:sz="4" w:space="0" w:color="auto"/>
            </w:tcBorders>
            <w:shd w:val="clear" w:color="auto" w:fill="auto"/>
            <w:noWrap/>
            <w:vAlign w:val="bottom"/>
            <w:hideMark/>
          </w:tcPr>
          <w:p w14:paraId="55F44F8B"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Biomass</w:t>
            </w:r>
          </w:p>
        </w:tc>
        <w:tc>
          <w:tcPr>
            <w:tcW w:w="1660" w:type="dxa"/>
            <w:tcBorders>
              <w:top w:val="nil"/>
              <w:left w:val="nil"/>
              <w:bottom w:val="single" w:sz="4" w:space="0" w:color="auto"/>
              <w:right w:val="single" w:sz="4" w:space="0" w:color="auto"/>
            </w:tcBorders>
            <w:shd w:val="clear" w:color="auto" w:fill="auto"/>
            <w:noWrap/>
            <w:vAlign w:val="bottom"/>
            <w:hideMark/>
          </w:tcPr>
          <w:p w14:paraId="189C5C65"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354</w:t>
            </w:r>
          </w:p>
        </w:tc>
        <w:tc>
          <w:tcPr>
            <w:tcW w:w="1660" w:type="dxa"/>
            <w:tcBorders>
              <w:top w:val="nil"/>
              <w:left w:val="nil"/>
              <w:bottom w:val="single" w:sz="4" w:space="0" w:color="auto"/>
              <w:right w:val="single" w:sz="8" w:space="0" w:color="auto"/>
            </w:tcBorders>
            <w:shd w:val="clear" w:color="auto" w:fill="auto"/>
            <w:noWrap/>
            <w:vAlign w:val="bottom"/>
            <w:hideMark/>
          </w:tcPr>
          <w:p w14:paraId="41913A73"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354</w:t>
            </w:r>
          </w:p>
        </w:tc>
      </w:tr>
      <w:tr w:rsidR="007A3EFE" w:rsidRPr="007A3EFE" w14:paraId="5D0FB33B" w14:textId="77777777" w:rsidTr="00FD55A8">
        <w:trPr>
          <w:trHeight w:val="300"/>
          <w:jc w:val="center"/>
        </w:trPr>
        <w:tc>
          <w:tcPr>
            <w:tcW w:w="2100" w:type="dxa"/>
            <w:tcBorders>
              <w:top w:val="nil"/>
              <w:left w:val="single" w:sz="8" w:space="0" w:color="auto"/>
              <w:bottom w:val="single" w:sz="4" w:space="0" w:color="auto"/>
              <w:right w:val="single" w:sz="4" w:space="0" w:color="auto"/>
            </w:tcBorders>
            <w:shd w:val="clear" w:color="auto" w:fill="auto"/>
            <w:noWrap/>
            <w:vAlign w:val="bottom"/>
            <w:hideMark/>
          </w:tcPr>
          <w:p w14:paraId="657BA4E5"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Coal</w:t>
            </w:r>
          </w:p>
        </w:tc>
        <w:tc>
          <w:tcPr>
            <w:tcW w:w="1660" w:type="dxa"/>
            <w:tcBorders>
              <w:top w:val="nil"/>
              <w:left w:val="nil"/>
              <w:bottom w:val="single" w:sz="4" w:space="0" w:color="auto"/>
              <w:right w:val="single" w:sz="4" w:space="0" w:color="auto"/>
            </w:tcBorders>
            <w:shd w:val="clear" w:color="auto" w:fill="auto"/>
            <w:noWrap/>
            <w:vAlign w:val="bottom"/>
            <w:hideMark/>
          </w:tcPr>
          <w:p w14:paraId="5371D9B4"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7,386</w:t>
            </w:r>
          </w:p>
        </w:tc>
        <w:tc>
          <w:tcPr>
            <w:tcW w:w="1660" w:type="dxa"/>
            <w:tcBorders>
              <w:top w:val="nil"/>
              <w:left w:val="nil"/>
              <w:bottom w:val="single" w:sz="4" w:space="0" w:color="auto"/>
              <w:right w:val="single" w:sz="8" w:space="0" w:color="auto"/>
            </w:tcBorders>
            <w:shd w:val="clear" w:color="auto" w:fill="auto"/>
            <w:noWrap/>
            <w:vAlign w:val="bottom"/>
            <w:hideMark/>
          </w:tcPr>
          <w:p w14:paraId="51B9B98A"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7,800</w:t>
            </w:r>
          </w:p>
        </w:tc>
      </w:tr>
      <w:tr w:rsidR="007A3EFE" w:rsidRPr="007A3EFE" w14:paraId="05286704" w14:textId="77777777" w:rsidTr="00FD55A8">
        <w:trPr>
          <w:trHeight w:val="300"/>
          <w:jc w:val="center"/>
        </w:trPr>
        <w:tc>
          <w:tcPr>
            <w:tcW w:w="2100" w:type="dxa"/>
            <w:tcBorders>
              <w:top w:val="nil"/>
              <w:left w:val="single" w:sz="8" w:space="0" w:color="auto"/>
              <w:bottom w:val="single" w:sz="4" w:space="0" w:color="auto"/>
              <w:right w:val="single" w:sz="4" w:space="0" w:color="auto"/>
            </w:tcBorders>
            <w:shd w:val="clear" w:color="auto" w:fill="auto"/>
            <w:noWrap/>
            <w:vAlign w:val="bottom"/>
            <w:hideMark/>
          </w:tcPr>
          <w:p w14:paraId="3E5BBEF1"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Combined Cycle</w:t>
            </w:r>
          </w:p>
        </w:tc>
        <w:tc>
          <w:tcPr>
            <w:tcW w:w="1660" w:type="dxa"/>
            <w:tcBorders>
              <w:top w:val="nil"/>
              <w:left w:val="nil"/>
              <w:bottom w:val="single" w:sz="4" w:space="0" w:color="auto"/>
              <w:right w:val="single" w:sz="4" w:space="0" w:color="auto"/>
            </w:tcBorders>
            <w:shd w:val="clear" w:color="auto" w:fill="auto"/>
            <w:noWrap/>
            <w:vAlign w:val="bottom"/>
            <w:hideMark/>
          </w:tcPr>
          <w:p w14:paraId="60B8FB97"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13,638</w:t>
            </w:r>
          </w:p>
        </w:tc>
        <w:tc>
          <w:tcPr>
            <w:tcW w:w="1660" w:type="dxa"/>
            <w:tcBorders>
              <w:top w:val="nil"/>
              <w:left w:val="nil"/>
              <w:bottom w:val="single" w:sz="4" w:space="0" w:color="auto"/>
              <w:right w:val="single" w:sz="8" w:space="0" w:color="auto"/>
            </w:tcBorders>
            <w:shd w:val="clear" w:color="auto" w:fill="auto"/>
            <w:noWrap/>
            <w:vAlign w:val="bottom"/>
            <w:hideMark/>
          </w:tcPr>
          <w:p w14:paraId="3398BA1B"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14,912</w:t>
            </w:r>
          </w:p>
        </w:tc>
      </w:tr>
      <w:tr w:rsidR="007A3EFE" w:rsidRPr="007A3EFE" w14:paraId="36C9E32D" w14:textId="77777777" w:rsidTr="00FD55A8">
        <w:trPr>
          <w:trHeight w:val="300"/>
          <w:jc w:val="center"/>
        </w:trPr>
        <w:tc>
          <w:tcPr>
            <w:tcW w:w="2100" w:type="dxa"/>
            <w:tcBorders>
              <w:top w:val="nil"/>
              <w:left w:val="single" w:sz="8" w:space="0" w:color="auto"/>
              <w:bottom w:val="single" w:sz="4" w:space="0" w:color="auto"/>
              <w:right w:val="single" w:sz="4" w:space="0" w:color="auto"/>
            </w:tcBorders>
            <w:shd w:val="clear" w:color="auto" w:fill="auto"/>
            <w:noWrap/>
            <w:vAlign w:val="bottom"/>
            <w:hideMark/>
          </w:tcPr>
          <w:p w14:paraId="7A04C9AF"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Combustion Turbine</w:t>
            </w:r>
          </w:p>
        </w:tc>
        <w:tc>
          <w:tcPr>
            <w:tcW w:w="1660" w:type="dxa"/>
            <w:tcBorders>
              <w:top w:val="nil"/>
              <w:left w:val="nil"/>
              <w:bottom w:val="single" w:sz="4" w:space="0" w:color="auto"/>
              <w:right w:val="single" w:sz="4" w:space="0" w:color="auto"/>
            </w:tcBorders>
            <w:shd w:val="clear" w:color="auto" w:fill="auto"/>
            <w:noWrap/>
            <w:vAlign w:val="bottom"/>
            <w:hideMark/>
          </w:tcPr>
          <w:p w14:paraId="24BA387C"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7,797</w:t>
            </w:r>
          </w:p>
        </w:tc>
        <w:tc>
          <w:tcPr>
            <w:tcW w:w="1660" w:type="dxa"/>
            <w:tcBorders>
              <w:top w:val="nil"/>
              <w:left w:val="nil"/>
              <w:bottom w:val="single" w:sz="4" w:space="0" w:color="auto"/>
              <w:right w:val="single" w:sz="8" w:space="0" w:color="auto"/>
            </w:tcBorders>
            <w:shd w:val="clear" w:color="auto" w:fill="auto"/>
            <w:noWrap/>
            <w:vAlign w:val="bottom"/>
            <w:hideMark/>
          </w:tcPr>
          <w:p w14:paraId="1715B4E8"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8,116</w:t>
            </w:r>
          </w:p>
        </w:tc>
      </w:tr>
      <w:tr w:rsidR="007A3EFE" w:rsidRPr="007A3EFE" w14:paraId="2BFF0F9D" w14:textId="77777777" w:rsidTr="00FD55A8">
        <w:trPr>
          <w:trHeight w:val="300"/>
          <w:jc w:val="center"/>
        </w:trPr>
        <w:tc>
          <w:tcPr>
            <w:tcW w:w="2100" w:type="dxa"/>
            <w:tcBorders>
              <w:top w:val="nil"/>
              <w:left w:val="single" w:sz="8" w:space="0" w:color="auto"/>
              <w:bottom w:val="single" w:sz="4" w:space="0" w:color="auto"/>
              <w:right w:val="single" w:sz="4" w:space="0" w:color="auto"/>
            </w:tcBorders>
            <w:shd w:val="clear" w:color="auto" w:fill="auto"/>
            <w:noWrap/>
            <w:vAlign w:val="bottom"/>
            <w:hideMark/>
          </w:tcPr>
          <w:p w14:paraId="7A1D0658"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Demand Response</w:t>
            </w:r>
          </w:p>
        </w:tc>
        <w:tc>
          <w:tcPr>
            <w:tcW w:w="1660" w:type="dxa"/>
            <w:tcBorders>
              <w:top w:val="nil"/>
              <w:left w:val="nil"/>
              <w:bottom w:val="single" w:sz="4" w:space="0" w:color="auto"/>
              <w:right w:val="single" w:sz="4" w:space="0" w:color="auto"/>
            </w:tcBorders>
            <w:shd w:val="clear" w:color="auto" w:fill="auto"/>
            <w:noWrap/>
            <w:vAlign w:val="bottom"/>
            <w:hideMark/>
          </w:tcPr>
          <w:p w14:paraId="4689455F"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1,294</w:t>
            </w:r>
          </w:p>
        </w:tc>
        <w:tc>
          <w:tcPr>
            <w:tcW w:w="1660" w:type="dxa"/>
            <w:tcBorders>
              <w:top w:val="nil"/>
              <w:left w:val="nil"/>
              <w:bottom w:val="single" w:sz="4" w:space="0" w:color="auto"/>
              <w:right w:val="single" w:sz="8" w:space="0" w:color="auto"/>
            </w:tcBorders>
            <w:shd w:val="clear" w:color="auto" w:fill="auto"/>
            <w:noWrap/>
            <w:vAlign w:val="bottom"/>
            <w:hideMark/>
          </w:tcPr>
          <w:p w14:paraId="1B371A77"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636</w:t>
            </w:r>
          </w:p>
        </w:tc>
      </w:tr>
      <w:tr w:rsidR="007A3EFE" w:rsidRPr="007A3EFE" w14:paraId="04C8876C" w14:textId="77777777" w:rsidTr="00FD55A8">
        <w:trPr>
          <w:trHeight w:val="300"/>
          <w:jc w:val="center"/>
        </w:trPr>
        <w:tc>
          <w:tcPr>
            <w:tcW w:w="2100" w:type="dxa"/>
            <w:tcBorders>
              <w:top w:val="nil"/>
              <w:left w:val="single" w:sz="8" w:space="0" w:color="auto"/>
              <w:bottom w:val="single" w:sz="4" w:space="0" w:color="auto"/>
              <w:right w:val="single" w:sz="4" w:space="0" w:color="auto"/>
            </w:tcBorders>
            <w:shd w:val="clear" w:color="auto" w:fill="auto"/>
            <w:noWrap/>
            <w:vAlign w:val="bottom"/>
            <w:hideMark/>
          </w:tcPr>
          <w:p w14:paraId="7306BF57"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Gas Steam</w:t>
            </w:r>
          </w:p>
        </w:tc>
        <w:tc>
          <w:tcPr>
            <w:tcW w:w="1660" w:type="dxa"/>
            <w:tcBorders>
              <w:top w:val="nil"/>
              <w:left w:val="nil"/>
              <w:bottom w:val="single" w:sz="4" w:space="0" w:color="auto"/>
              <w:right w:val="single" w:sz="4" w:space="0" w:color="auto"/>
            </w:tcBorders>
            <w:shd w:val="clear" w:color="auto" w:fill="auto"/>
            <w:noWrap/>
            <w:vAlign w:val="bottom"/>
            <w:hideMark/>
          </w:tcPr>
          <w:p w14:paraId="64E76D7B"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4,351</w:t>
            </w:r>
          </w:p>
        </w:tc>
        <w:tc>
          <w:tcPr>
            <w:tcW w:w="1660" w:type="dxa"/>
            <w:tcBorders>
              <w:top w:val="nil"/>
              <w:left w:val="nil"/>
              <w:bottom w:val="single" w:sz="4" w:space="0" w:color="auto"/>
              <w:right w:val="single" w:sz="8" w:space="0" w:color="auto"/>
            </w:tcBorders>
            <w:shd w:val="clear" w:color="auto" w:fill="auto"/>
            <w:noWrap/>
            <w:vAlign w:val="bottom"/>
            <w:hideMark/>
          </w:tcPr>
          <w:p w14:paraId="1D5FF1B6"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4,401</w:t>
            </w:r>
          </w:p>
        </w:tc>
      </w:tr>
      <w:tr w:rsidR="007A3EFE" w:rsidRPr="007A3EFE" w14:paraId="5E1A99D9" w14:textId="77777777" w:rsidTr="00FD55A8">
        <w:trPr>
          <w:trHeight w:val="300"/>
          <w:jc w:val="center"/>
        </w:trPr>
        <w:tc>
          <w:tcPr>
            <w:tcW w:w="2100" w:type="dxa"/>
            <w:tcBorders>
              <w:top w:val="nil"/>
              <w:left w:val="single" w:sz="8" w:space="0" w:color="auto"/>
              <w:bottom w:val="single" w:sz="4" w:space="0" w:color="auto"/>
              <w:right w:val="single" w:sz="4" w:space="0" w:color="auto"/>
            </w:tcBorders>
            <w:shd w:val="clear" w:color="auto" w:fill="auto"/>
            <w:noWrap/>
            <w:vAlign w:val="bottom"/>
            <w:hideMark/>
          </w:tcPr>
          <w:p w14:paraId="1BFFE578"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Hydro</w:t>
            </w:r>
          </w:p>
        </w:tc>
        <w:tc>
          <w:tcPr>
            <w:tcW w:w="1660" w:type="dxa"/>
            <w:tcBorders>
              <w:top w:val="nil"/>
              <w:left w:val="nil"/>
              <w:bottom w:val="single" w:sz="4" w:space="0" w:color="auto"/>
              <w:right w:val="single" w:sz="4" w:space="0" w:color="auto"/>
            </w:tcBorders>
            <w:shd w:val="clear" w:color="auto" w:fill="auto"/>
            <w:noWrap/>
            <w:vAlign w:val="bottom"/>
            <w:hideMark/>
          </w:tcPr>
          <w:p w14:paraId="4312FF04"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2,174</w:t>
            </w:r>
          </w:p>
        </w:tc>
        <w:tc>
          <w:tcPr>
            <w:tcW w:w="1660" w:type="dxa"/>
            <w:tcBorders>
              <w:top w:val="nil"/>
              <w:left w:val="nil"/>
              <w:bottom w:val="single" w:sz="4" w:space="0" w:color="auto"/>
              <w:right w:val="single" w:sz="8" w:space="0" w:color="auto"/>
            </w:tcBorders>
            <w:shd w:val="clear" w:color="auto" w:fill="auto"/>
            <w:noWrap/>
            <w:vAlign w:val="bottom"/>
            <w:hideMark/>
          </w:tcPr>
          <w:p w14:paraId="4ACE0ECD"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2,476</w:t>
            </w:r>
          </w:p>
        </w:tc>
      </w:tr>
      <w:tr w:rsidR="007A3EFE" w:rsidRPr="007A3EFE" w14:paraId="608D89CB" w14:textId="77777777" w:rsidTr="00FD55A8">
        <w:trPr>
          <w:trHeight w:val="300"/>
          <w:jc w:val="center"/>
        </w:trPr>
        <w:tc>
          <w:tcPr>
            <w:tcW w:w="2100" w:type="dxa"/>
            <w:tcBorders>
              <w:top w:val="nil"/>
              <w:left w:val="single" w:sz="8" w:space="0" w:color="auto"/>
              <w:bottom w:val="single" w:sz="4" w:space="0" w:color="auto"/>
              <w:right w:val="single" w:sz="4" w:space="0" w:color="auto"/>
            </w:tcBorders>
            <w:shd w:val="clear" w:color="auto" w:fill="auto"/>
            <w:noWrap/>
            <w:vAlign w:val="bottom"/>
            <w:hideMark/>
          </w:tcPr>
          <w:p w14:paraId="3D8D0FB2"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Nuclear</w:t>
            </w:r>
          </w:p>
        </w:tc>
        <w:tc>
          <w:tcPr>
            <w:tcW w:w="1660" w:type="dxa"/>
            <w:tcBorders>
              <w:top w:val="nil"/>
              <w:left w:val="nil"/>
              <w:bottom w:val="single" w:sz="4" w:space="0" w:color="auto"/>
              <w:right w:val="single" w:sz="4" w:space="0" w:color="auto"/>
            </w:tcBorders>
            <w:shd w:val="clear" w:color="auto" w:fill="auto"/>
            <w:noWrap/>
            <w:vAlign w:val="bottom"/>
            <w:hideMark/>
          </w:tcPr>
          <w:p w14:paraId="679FEEC9"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5,281</w:t>
            </w:r>
          </w:p>
        </w:tc>
        <w:tc>
          <w:tcPr>
            <w:tcW w:w="1660" w:type="dxa"/>
            <w:tcBorders>
              <w:top w:val="nil"/>
              <w:left w:val="nil"/>
              <w:bottom w:val="single" w:sz="4" w:space="0" w:color="auto"/>
              <w:right w:val="single" w:sz="8" w:space="0" w:color="auto"/>
            </w:tcBorders>
            <w:shd w:val="clear" w:color="auto" w:fill="auto"/>
            <w:noWrap/>
            <w:vAlign w:val="bottom"/>
            <w:hideMark/>
          </w:tcPr>
          <w:p w14:paraId="7D988E06"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5,281</w:t>
            </w:r>
          </w:p>
        </w:tc>
      </w:tr>
      <w:tr w:rsidR="007A3EFE" w:rsidRPr="007A3EFE" w14:paraId="7731803C" w14:textId="77777777" w:rsidTr="00FD55A8">
        <w:trPr>
          <w:trHeight w:val="300"/>
          <w:jc w:val="center"/>
        </w:trPr>
        <w:tc>
          <w:tcPr>
            <w:tcW w:w="2100" w:type="dxa"/>
            <w:tcBorders>
              <w:top w:val="nil"/>
              <w:left w:val="single" w:sz="8" w:space="0" w:color="auto"/>
              <w:bottom w:val="single" w:sz="4" w:space="0" w:color="auto"/>
              <w:right w:val="single" w:sz="4" w:space="0" w:color="auto"/>
            </w:tcBorders>
            <w:shd w:val="clear" w:color="auto" w:fill="auto"/>
            <w:noWrap/>
            <w:vAlign w:val="bottom"/>
            <w:hideMark/>
          </w:tcPr>
          <w:p w14:paraId="30EC1646" w14:textId="7CDC87BA"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Purchase</w:t>
            </w:r>
            <w:r w:rsidR="003F56EC">
              <w:rPr>
                <w:rFonts w:ascii="Calibri" w:hAnsi="Calibri" w:cs="Calibri"/>
                <w:color w:val="000000"/>
                <w:sz w:val="22"/>
                <w:szCs w:val="22"/>
              </w:rPr>
              <w:t>d Power</w:t>
            </w:r>
          </w:p>
        </w:tc>
        <w:tc>
          <w:tcPr>
            <w:tcW w:w="1660" w:type="dxa"/>
            <w:tcBorders>
              <w:top w:val="nil"/>
              <w:left w:val="nil"/>
              <w:bottom w:val="single" w:sz="4" w:space="0" w:color="auto"/>
              <w:right w:val="single" w:sz="4" w:space="0" w:color="auto"/>
            </w:tcBorders>
            <w:shd w:val="clear" w:color="auto" w:fill="auto"/>
            <w:noWrap/>
            <w:vAlign w:val="bottom"/>
            <w:hideMark/>
          </w:tcPr>
          <w:p w14:paraId="6C1F59FD"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200</w:t>
            </w:r>
          </w:p>
        </w:tc>
        <w:tc>
          <w:tcPr>
            <w:tcW w:w="1660" w:type="dxa"/>
            <w:tcBorders>
              <w:top w:val="nil"/>
              <w:left w:val="nil"/>
              <w:bottom w:val="single" w:sz="4" w:space="0" w:color="auto"/>
              <w:right w:val="single" w:sz="8" w:space="0" w:color="auto"/>
            </w:tcBorders>
            <w:shd w:val="clear" w:color="auto" w:fill="auto"/>
            <w:noWrap/>
            <w:vAlign w:val="bottom"/>
            <w:hideMark/>
          </w:tcPr>
          <w:p w14:paraId="09CC2198"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200</w:t>
            </w:r>
          </w:p>
        </w:tc>
      </w:tr>
      <w:tr w:rsidR="007A3EFE" w:rsidRPr="007A3EFE" w14:paraId="49BF8D15" w14:textId="77777777" w:rsidTr="00FD55A8">
        <w:trPr>
          <w:trHeight w:val="300"/>
          <w:jc w:val="center"/>
        </w:trPr>
        <w:tc>
          <w:tcPr>
            <w:tcW w:w="2100" w:type="dxa"/>
            <w:tcBorders>
              <w:top w:val="nil"/>
              <w:left w:val="single" w:sz="8" w:space="0" w:color="auto"/>
              <w:bottom w:val="single" w:sz="4" w:space="0" w:color="auto"/>
              <w:right w:val="single" w:sz="4" w:space="0" w:color="auto"/>
            </w:tcBorders>
            <w:shd w:val="clear" w:color="auto" w:fill="auto"/>
            <w:noWrap/>
            <w:vAlign w:val="bottom"/>
            <w:hideMark/>
          </w:tcPr>
          <w:p w14:paraId="41116A98"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Pumped Storage</w:t>
            </w:r>
          </w:p>
        </w:tc>
        <w:tc>
          <w:tcPr>
            <w:tcW w:w="1660" w:type="dxa"/>
            <w:tcBorders>
              <w:top w:val="nil"/>
              <w:left w:val="nil"/>
              <w:bottom w:val="single" w:sz="4" w:space="0" w:color="auto"/>
              <w:right w:val="single" w:sz="4" w:space="0" w:color="auto"/>
            </w:tcBorders>
            <w:shd w:val="clear" w:color="auto" w:fill="auto"/>
            <w:noWrap/>
            <w:vAlign w:val="bottom"/>
            <w:hideMark/>
          </w:tcPr>
          <w:p w14:paraId="5433192B"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493</w:t>
            </w:r>
          </w:p>
        </w:tc>
        <w:tc>
          <w:tcPr>
            <w:tcW w:w="1660" w:type="dxa"/>
            <w:tcBorders>
              <w:top w:val="nil"/>
              <w:left w:val="nil"/>
              <w:bottom w:val="single" w:sz="4" w:space="0" w:color="auto"/>
              <w:right w:val="single" w:sz="8" w:space="0" w:color="auto"/>
            </w:tcBorders>
            <w:shd w:val="clear" w:color="auto" w:fill="auto"/>
            <w:noWrap/>
            <w:vAlign w:val="bottom"/>
            <w:hideMark/>
          </w:tcPr>
          <w:p w14:paraId="47595931"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493</w:t>
            </w:r>
          </w:p>
        </w:tc>
      </w:tr>
      <w:tr w:rsidR="007A3EFE" w:rsidRPr="007A3EFE" w14:paraId="25659053" w14:textId="77777777" w:rsidTr="00FD55A8">
        <w:trPr>
          <w:trHeight w:val="300"/>
          <w:jc w:val="center"/>
        </w:trPr>
        <w:tc>
          <w:tcPr>
            <w:tcW w:w="2100" w:type="dxa"/>
            <w:tcBorders>
              <w:top w:val="nil"/>
              <w:left w:val="single" w:sz="8" w:space="0" w:color="auto"/>
              <w:bottom w:val="single" w:sz="4" w:space="0" w:color="auto"/>
              <w:right w:val="single" w:sz="4" w:space="0" w:color="auto"/>
            </w:tcBorders>
            <w:shd w:val="clear" w:color="auto" w:fill="auto"/>
            <w:noWrap/>
            <w:vAlign w:val="bottom"/>
            <w:hideMark/>
          </w:tcPr>
          <w:p w14:paraId="54944821"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Solar</w:t>
            </w:r>
          </w:p>
        </w:tc>
        <w:tc>
          <w:tcPr>
            <w:tcW w:w="1660" w:type="dxa"/>
            <w:tcBorders>
              <w:top w:val="nil"/>
              <w:left w:val="nil"/>
              <w:bottom w:val="single" w:sz="4" w:space="0" w:color="auto"/>
              <w:right w:val="single" w:sz="4" w:space="0" w:color="auto"/>
            </w:tcBorders>
            <w:shd w:val="clear" w:color="auto" w:fill="auto"/>
            <w:noWrap/>
            <w:vAlign w:val="bottom"/>
            <w:hideMark/>
          </w:tcPr>
          <w:p w14:paraId="579FEA3C"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4,028</w:t>
            </w:r>
          </w:p>
        </w:tc>
        <w:tc>
          <w:tcPr>
            <w:tcW w:w="1660" w:type="dxa"/>
            <w:tcBorders>
              <w:top w:val="nil"/>
              <w:left w:val="nil"/>
              <w:bottom w:val="single" w:sz="4" w:space="0" w:color="auto"/>
              <w:right w:val="single" w:sz="8" w:space="0" w:color="auto"/>
            </w:tcBorders>
            <w:shd w:val="clear" w:color="auto" w:fill="auto"/>
            <w:noWrap/>
            <w:vAlign w:val="bottom"/>
            <w:hideMark/>
          </w:tcPr>
          <w:p w14:paraId="2CE9EE3E"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1,955</w:t>
            </w:r>
          </w:p>
        </w:tc>
      </w:tr>
      <w:tr w:rsidR="007A3EFE" w:rsidRPr="007A3EFE" w14:paraId="43520454" w14:textId="77777777" w:rsidTr="00FD55A8">
        <w:trPr>
          <w:trHeight w:val="300"/>
          <w:jc w:val="center"/>
        </w:trPr>
        <w:tc>
          <w:tcPr>
            <w:tcW w:w="2100" w:type="dxa"/>
            <w:tcBorders>
              <w:top w:val="nil"/>
              <w:left w:val="single" w:sz="8" w:space="0" w:color="auto"/>
              <w:bottom w:val="single" w:sz="4" w:space="0" w:color="auto"/>
              <w:right w:val="single" w:sz="4" w:space="0" w:color="auto"/>
            </w:tcBorders>
            <w:shd w:val="clear" w:color="auto" w:fill="auto"/>
            <w:noWrap/>
            <w:vAlign w:val="bottom"/>
            <w:hideMark/>
          </w:tcPr>
          <w:p w14:paraId="445E84C9"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Storage</w:t>
            </w:r>
          </w:p>
        </w:tc>
        <w:tc>
          <w:tcPr>
            <w:tcW w:w="1660" w:type="dxa"/>
            <w:tcBorders>
              <w:top w:val="nil"/>
              <w:left w:val="nil"/>
              <w:bottom w:val="single" w:sz="4" w:space="0" w:color="auto"/>
              <w:right w:val="single" w:sz="4" w:space="0" w:color="auto"/>
            </w:tcBorders>
            <w:shd w:val="clear" w:color="auto" w:fill="auto"/>
            <w:noWrap/>
            <w:vAlign w:val="bottom"/>
            <w:hideMark/>
          </w:tcPr>
          <w:p w14:paraId="7918FB8B"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920</w:t>
            </w:r>
          </w:p>
        </w:tc>
        <w:tc>
          <w:tcPr>
            <w:tcW w:w="1660" w:type="dxa"/>
            <w:tcBorders>
              <w:top w:val="nil"/>
              <w:left w:val="nil"/>
              <w:bottom w:val="single" w:sz="4" w:space="0" w:color="auto"/>
              <w:right w:val="single" w:sz="8" w:space="0" w:color="auto"/>
            </w:tcBorders>
            <w:shd w:val="clear" w:color="auto" w:fill="auto"/>
            <w:noWrap/>
            <w:vAlign w:val="bottom"/>
            <w:hideMark/>
          </w:tcPr>
          <w:p w14:paraId="4E76EC3F"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920</w:t>
            </w:r>
          </w:p>
        </w:tc>
      </w:tr>
      <w:tr w:rsidR="007A3EFE" w:rsidRPr="007A3EFE" w14:paraId="6725B6BD" w14:textId="77777777" w:rsidTr="00FD55A8">
        <w:trPr>
          <w:trHeight w:val="315"/>
          <w:jc w:val="center"/>
        </w:trPr>
        <w:tc>
          <w:tcPr>
            <w:tcW w:w="2100" w:type="dxa"/>
            <w:tcBorders>
              <w:top w:val="nil"/>
              <w:left w:val="single" w:sz="8" w:space="0" w:color="auto"/>
              <w:bottom w:val="single" w:sz="8" w:space="0" w:color="auto"/>
              <w:right w:val="single" w:sz="4" w:space="0" w:color="auto"/>
            </w:tcBorders>
            <w:shd w:val="clear" w:color="auto" w:fill="auto"/>
            <w:noWrap/>
            <w:vAlign w:val="bottom"/>
            <w:hideMark/>
          </w:tcPr>
          <w:p w14:paraId="3C7CE362"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Wind</w:t>
            </w:r>
          </w:p>
        </w:tc>
        <w:tc>
          <w:tcPr>
            <w:tcW w:w="1660" w:type="dxa"/>
            <w:tcBorders>
              <w:top w:val="nil"/>
              <w:left w:val="nil"/>
              <w:bottom w:val="single" w:sz="8" w:space="0" w:color="auto"/>
              <w:right w:val="single" w:sz="4" w:space="0" w:color="auto"/>
            </w:tcBorders>
            <w:shd w:val="clear" w:color="auto" w:fill="auto"/>
            <w:noWrap/>
            <w:vAlign w:val="bottom"/>
            <w:hideMark/>
          </w:tcPr>
          <w:p w14:paraId="1E2BEA6A"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208</w:t>
            </w:r>
          </w:p>
        </w:tc>
        <w:tc>
          <w:tcPr>
            <w:tcW w:w="1660" w:type="dxa"/>
            <w:tcBorders>
              <w:top w:val="nil"/>
              <w:left w:val="nil"/>
              <w:bottom w:val="single" w:sz="8" w:space="0" w:color="auto"/>
              <w:right w:val="single" w:sz="8" w:space="0" w:color="auto"/>
            </w:tcBorders>
            <w:shd w:val="clear" w:color="auto" w:fill="auto"/>
            <w:noWrap/>
            <w:vAlign w:val="bottom"/>
            <w:hideMark/>
          </w:tcPr>
          <w:p w14:paraId="15CCA6BF"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103</w:t>
            </w:r>
          </w:p>
        </w:tc>
      </w:tr>
      <w:tr w:rsidR="007A3EFE" w:rsidRPr="007A3EFE" w14:paraId="4B5B35DF" w14:textId="77777777" w:rsidTr="00FD55A8">
        <w:trPr>
          <w:trHeight w:val="315"/>
          <w:jc w:val="center"/>
        </w:trPr>
        <w:tc>
          <w:tcPr>
            <w:tcW w:w="2100" w:type="dxa"/>
            <w:tcBorders>
              <w:top w:val="nil"/>
              <w:left w:val="single" w:sz="8" w:space="0" w:color="auto"/>
              <w:bottom w:val="single" w:sz="8" w:space="0" w:color="auto"/>
              <w:right w:val="single" w:sz="4" w:space="0" w:color="auto"/>
            </w:tcBorders>
            <w:shd w:val="clear" w:color="auto" w:fill="auto"/>
            <w:noWrap/>
            <w:vAlign w:val="bottom"/>
            <w:hideMark/>
          </w:tcPr>
          <w:p w14:paraId="2CE06A32" w14:textId="77777777" w:rsidR="007A3EFE" w:rsidRPr="007A3EFE" w:rsidRDefault="007A3EFE" w:rsidP="007A3EFE">
            <w:pPr>
              <w:spacing w:line="240" w:lineRule="auto"/>
              <w:jc w:val="left"/>
              <w:rPr>
                <w:rFonts w:ascii="Calibri" w:hAnsi="Calibri" w:cs="Calibri"/>
                <w:color w:val="000000"/>
                <w:sz w:val="22"/>
                <w:szCs w:val="22"/>
              </w:rPr>
            </w:pPr>
            <w:r w:rsidRPr="007A3EFE">
              <w:rPr>
                <w:rFonts w:ascii="Calibri" w:hAnsi="Calibri" w:cs="Calibri"/>
                <w:color w:val="000000"/>
                <w:sz w:val="22"/>
                <w:szCs w:val="22"/>
              </w:rPr>
              <w:t>TOTAL</w:t>
            </w:r>
          </w:p>
        </w:tc>
        <w:tc>
          <w:tcPr>
            <w:tcW w:w="1660" w:type="dxa"/>
            <w:tcBorders>
              <w:top w:val="nil"/>
              <w:left w:val="nil"/>
              <w:bottom w:val="single" w:sz="8" w:space="0" w:color="auto"/>
              <w:right w:val="single" w:sz="4" w:space="0" w:color="auto"/>
            </w:tcBorders>
            <w:shd w:val="clear" w:color="auto" w:fill="auto"/>
            <w:noWrap/>
            <w:vAlign w:val="bottom"/>
            <w:hideMark/>
          </w:tcPr>
          <w:p w14:paraId="3856CB78"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48,124</w:t>
            </w:r>
          </w:p>
        </w:tc>
        <w:tc>
          <w:tcPr>
            <w:tcW w:w="1660" w:type="dxa"/>
            <w:tcBorders>
              <w:top w:val="nil"/>
              <w:left w:val="nil"/>
              <w:bottom w:val="single" w:sz="8" w:space="0" w:color="auto"/>
              <w:right w:val="single" w:sz="8" w:space="0" w:color="auto"/>
            </w:tcBorders>
            <w:shd w:val="clear" w:color="auto" w:fill="auto"/>
            <w:noWrap/>
            <w:vAlign w:val="bottom"/>
            <w:hideMark/>
          </w:tcPr>
          <w:p w14:paraId="74C8831F" w14:textId="77777777" w:rsidR="007A3EFE" w:rsidRPr="007A3EFE" w:rsidRDefault="007A3EFE" w:rsidP="007A3EFE">
            <w:pPr>
              <w:spacing w:line="240" w:lineRule="auto"/>
              <w:jc w:val="center"/>
              <w:rPr>
                <w:rFonts w:ascii="Calibri" w:hAnsi="Calibri" w:cs="Calibri"/>
                <w:color w:val="000000"/>
                <w:sz w:val="22"/>
                <w:szCs w:val="22"/>
              </w:rPr>
            </w:pPr>
            <w:r w:rsidRPr="007A3EFE">
              <w:rPr>
                <w:rFonts w:ascii="Calibri" w:hAnsi="Calibri" w:cs="Calibri"/>
                <w:color w:val="000000"/>
                <w:sz w:val="22"/>
                <w:szCs w:val="22"/>
              </w:rPr>
              <w:t>47,647</w:t>
            </w:r>
          </w:p>
        </w:tc>
      </w:tr>
    </w:tbl>
    <w:p w14:paraId="66B7092D" w14:textId="77777777" w:rsidR="00810064" w:rsidRPr="005824F3" w:rsidRDefault="00810064" w:rsidP="005824F3"/>
    <w:p w14:paraId="6447CB22" w14:textId="65CC0ED0" w:rsidR="004B49A6" w:rsidRPr="00421157" w:rsidRDefault="004B49A6" w:rsidP="00C56A27">
      <w:pPr>
        <w:pStyle w:val="Heading2"/>
        <w:numPr>
          <w:ilvl w:val="1"/>
          <w:numId w:val="13"/>
        </w:numPr>
        <w:ind w:left="360"/>
      </w:pPr>
      <w:bookmarkStart w:id="110" w:name="_Toc187234594"/>
      <w:r>
        <w:t>Generating</w:t>
      </w:r>
      <w:r w:rsidRPr="00DB641B">
        <w:t xml:space="preserve"> Unit</w:t>
      </w:r>
      <w:r>
        <w:t xml:space="preserve"> Outage Rates</w:t>
      </w:r>
      <w:bookmarkEnd w:id="83"/>
      <w:bookmarkEnd w:id="103"/>
      <w:bookmarkEnd w:id="104"/>
      <w:bookmarkEnd w:id="105"/>
      <w:bookmarkEnd w:id="106"/>
      <w:bookmarkEnd w:id="110"/>
    </w:p>
    <w:p w14:paraId="3148CAF8" w14:textId="160FDF21" w:rsidR="004B49A6" w:rsidRPr="00372AC4" w:rsidRDefault="001D022F" w:rsidP="00DB641B">
      <w:r>
        <w:t>Generating units occasionally experience outages, necessitating a period of downtime for repairs. For instance, a unit might operate for 500 to 1,500 hours before encountering a malfunction that takes it offline. The repair process can span from 3 to 500 hours, after which the unit might resume operation for another 500 to 1,500 hours.</w:t>
      </w:r>
    </w:p>
    <w:p w14:paraId="509F49FC" w14:textId="77777777" w:rsidR="004B49A6" w:rsidRPr="00372AC4" w:rsidRDefault="004B49A6" w:rsidP="00DB641B">
      <w:pPr>
        <w:rPr>
          <w:szCs w:val="24"/>
        </w:rPr>
      </w:pPr>
      <w:r w:rsidRPr="00372AC4">
        <w:rPr>
          <w:szCs w:val="24"/>
        </w:rPr>
        <w:t xml:space="preserve"> </w:t>
      </w:r>
    </w:p>
    <w:p w14:paraId="09E623BD" w14:textId="528FA0A3" w:rsidR="004B49A6" w:rsidRPr="00372AC4" w:rsidRDefault="004B49A6" w:rsidP="00217F0E">
      <w:pPr>
        <w:rPr>
          <w:szCs w:val="24"/>
        </w:rPr>
      </w:pPr>
      <w:r w:rsidRPr="00421157">
        <w:rPr>
          <w:szCs w:val="24"/>
        </w:rPr>
        <w:t xml:space="preserve">Forced outage </w:t>
      </w:r>
      <w:r w:rsidRPr="00B138F0">
        <w:rPr>
          <w:szCs w:val="24"/>
        </w:rPr>
        <w:t xml:space="preserve">and maintenance outage </w:t>
      </w:r>
      <w:r w:rsidRPr="00217F0E">
        <w:rPr>
          <w:szCs w:val="24"/>
        </w:rPr>
        <w:t xml:space="preserve">data for </w:t>
      </w:r>
      <w:r w:rsidR="009C7DD5">
        <w:rPr>
          <w:szCs w:val="24"/>
        </w:rPr>
        <w:t>the 20</w:t>
      </w:r>
      <w:r w:rsidR="005A6536">
        <w:rPr>
          <w:szCs w:val="24"/>
        </w:rPr>
        <w:t>2</w:t>
      </w:r>
      <w:r w:rsidR="000A5F83">
        <w:rPr>
          <w:szCs w:val="24"/>
        </w:rPr>
        <w:t>4</w:t>
      </w:r>
      <w:r w:rsidR="009C7DD5">
        <w:rPr>
          <w:szCs w:val="24"/>
        </w:rPr>
        <w:t xml:space="preserve"> Reserve Margin Study</w:t>
      </w:r>
      <w:r w:rsidRPr="00372AC4">
        <w:rPr>
          <w:szCs w:val="24"/>
        </w:rPr>
        <w:t xml:space="preserve"> consist of a series of observations</w:t>
      </w:r>
      <w:r w:rsidR="00957BF4">
        <w:rPr>
          <w:szCs w:val="24"/>
        </w:rPr>
        <w:t xml:space="preserve"> of historical outage events</w:t>
      </w:r>
      <w:r w:rsidR="00E6788B">
        <w:rPr>
          <w:szCs w:val="24"/>
        </w:rPr>
        <w:t xml:space="preserve"> from 20</w:t>
      </w:r>
      <w:r w:rsidR="005A6536">
        <w:rPr>
          <w:szCs w:val="24"/>
        </w:rPr>
        <w:t>1</w:t>
      </w:r>
      <w:r w:rsidR="000A5F83">
        <w:rPr>
          <w:szCs w:val="24"/>
        </w:rPr>
        <w:t>3</w:t>
      </w:r>
      <w:r w:rsidR="00E6788B">
        <w:rPr>
          <w:szCs w:val="24"/>
        </w:rPr>
        <w:t>-20</w:t>
      </w:r>
      <w:r w:rsidR="000A5F83">
        <w:rPr>
          <w:szCs w:val="24"/>
        </w:rPr>
        <w:t>22</w:t>
      </w:r>
      <w:r w:rsidRPr="00372AC4">
        <w:rPr>
          <w:szCs w:val="24"/>
        </w:rPr>
        <w:t>. Th</w:t>
      </w:r>
      <w:r w:rsidR="00AA4A51">
        <w:rPr>
          <w:szCs w:val="24"/>
        </w:rPr>
        <w:t>ese</w:t>
      </w:r>
      <w:r w:rsidRPr="00372AC4">
        <w:rPr>
          <w:szCs w:val="24"/>
        </w:rPr>
        <w:t xml:space="preserve"> data </w:t>
      </w:r>
      <w:r w:rsidR="00AA4A51">
        <w:rPr>
          <w:szCs w:val="24"/>
        </w:rPr>
        <w:t>are</w:t>
      </w:r>
      <w:r w:rsidRPr="00372AC4">
        <w:rPr>
          <w:szCs w:val="24"/>
        </w:rPr>
        <w:t xml:space="preserve"> assembled into time-to-fail</w:t>
      </w:r>
      <w:r w:rsidR="007B2388">
        <w:rPr>
          <w:szCs w:val="24"/>
        </w:rPr>
        <w:t xml:space="preserve"> (</w:t>
      </w:r>
      <w:r w:rsidR="008E2FDE">
        <w:rPr>
          <w:szCs w:val="24"/>
        </w:rPr>
        <w:t>“</w:t>
      </w:r>
      <w:r w:rsidR="007B2388">
        <w:rPr>
          <w:szCs w:val="24"/>
        </w:rPr>
        <w:t>TTF</w:t>
      </w:r>
      <w:r w:rsidR="008E2FDE">
        <w:rPr>
          <w:szCs w:val="24"/>
        </w:rPr>
        <w:t>”</w:t>
      </w:r>
      <w:r w:rsidR="007B2388">
        <w:rPr>
          <w:szCs w:val="24"/>
        </w:rPr>
        <w:t>)</w:t>
      </w:r>
      <w:r w:rsidRPr="00372AC4">
        <w:rPr>
          <w:szCs w:val="24"/>
        </w:rPr>
        <w:t xml:space="preserve"> and time-to-repair</w:t>
      </w:r>
      <w:r w:rsidR="007B2388">
        <w:rPr>
          <w:szCs w:val="24"/>
        </w:rPr>
        <w:t xml:space="preserve"> (</w:t>
      </w:r>
      <w:r w:rsidR="008E2FDE">
        <w:rPr>
          <w:szCs w:val="24"/>
        </w:rPr>
        <w:t>“</w:t>
      </w:r>
      <w:r w:rsidR="007B2388">
        <w:rPr>
          <w:szCs w:val="24"/>
        </w:rPr>
        <w:t>TTR</w:t>
      </w:r>
      <w:r w:rsidR="008E2FDE">
        <w:rPr>
          <w:szCs w:val="24"/>
        </w:rPr>
        <w:t>”</w:t>
      </w:r>
      <w:r w:rsidR="007B2388">
        <w:rPr>
          <w:szCs w:val="24"/>
        </w:rPr>
        <w:t>)</w:t>
      </w:r>
      <w:r w:rsidRPr="00372AC4">
        <w:rPr>
          <w:szCs w:val="24"/>
        </w:rPr>
        <w:t xml:space="preserve"> distributions.</w:t>
      </w:r>
    </w:p>
    <w:p w14:paraId="5CF5BF4F" w14:textId="77777777" w:rsidR="004B49A6" w:rsidRPr="00372AC4" w:rsidRDefault="004B49A6" w:rsidP="00217F0E">
      <w:pPr>
        <w:rPr>
          <w:szCs w:val="24"/>
        </w:rPr>
      </w:pPr>
    </w:p>
    <w:p w14:paraId="5AB915A3" w14:textId="30360234" w:rsidR="004B49A6" w:rsidRDefault="004B49A6" w:rsidP="00217F0E">
      <w:r w:rsidRPr="458F86C6">
        <w:t xml:space="preserve">Typical data for a unit might have up to </w:t>
      </w:r>
      <w:r w:rsidR="00E6788B" w:rsidRPr="458F86C6">
        <w:t>five</w:t>
      </w:r>
      <w:r w:rsidRPr="458F86C6">
        <w:t xml:space="preserve"> dozen entries in the TTF input data record, ranging from just a </w:t>
      </w:r>
      <w:r w:rsidR="00DD7BB5" w:rsidRPr="458F86C6">
        <w:t>single</w:t>
      </w:r>
      <w:r w:rsidRPr="458F86C6">
        <w:t xml:space="preserve"> hour to as many as </w:t>
      </w:r>
      <w:r w:rsidR="00345DE3" w:rsidRPr="458F86C6">
        <w:t>30</w:t>
      </w:r>
      <w:r w:rsidRPr="458F86C6">
        <w:t>,000 hours</w:t>
      </w:r>
      <w:r w:rsidR="00345DE3" w:rsidRPr="458F86C6">
        <w:t xml:space="preserve"> for a nuclear unit</w:t>
      </w:r>
      <w:r w:rsidRPr="458F86C6">
        <w:t xml:space="preserve">. Likewise, the typical data will contain a corresponding </w:t>
      </w:r>
      <w:r w:rsidR="001B14E7" w:rsidRPr="458F86C6">
        <w:t>number</w:t>
      </w:r>
      <w:r w:rsidRPr="458F86C6">
        <w:t xml:space="preserve"> of entries in the TTR distribution, ranging from one to </w:t>
      </w:r>
      <w:r w:rsidR="00345DE3" w:rsidRPr="458F86C6">
        <w:t>700</w:t>
      </w:r>
      <w:r w:rsidRPr="458F86C6">
        <w:t xml:space="preserve"> hours. As the model processes chronologically, it will randomly choose a TTF duration from the data record and then randomly choose a TTR duration. Individual unit operation, therefore, is a direct reflection of what has happened over </w:t>
      </w:r>
      <w:r w:rsidR="00E6788B" w:rsidRPr="458F86C6">
        <w:t>approximately</w:t>
      </w:r>
      <w:r w:rsidRPr="00372AC4">
        <w:rPr>
          <w:szCs w:val="24"/>
        </w:rPr>
        <w:t xml:space="preserve"> </w:t>
      </w:r>
      <w:r w:rsidRPr="458F86C6">
        <w:t>ten years. Since units are independent of each other</w:t>
      </w:r>
      <w:r>
        <w:rPr>
          <w:szCs w:val="24"/>
        </w:rPr>
        <w:t>,</w:t>
      </w:r>
      <w:r w:rsidRPr="458F86C6">
        <w:t xml:space="preserve"> it is possible that many units can be down at once. An example of this type of input data for a steam unit is shown in </w:t>
      </w:r>
      <w:r w:rsidR="00621BF1">
        <w:rPr>
          <w:szCs w:val="24"/>
        </w:rPr>
        <w:fldChar w:fldCharType="begin"/>
      </w:r>
      <w:r w:rsidR="00621BF1">
        <w:rPr>
          <w:szCs w:val="24"/>
        </w:rPr>
        <w:instrText xml:space="preserve"> REF _Ref513785690 \h </w:instrText>
      </w:r>
      <w:r w:rsidR="00621BF1">
        <w:rPr>
          <w:szCs w:val="24"/>
        </w:rPr>
      </w:r>
      <w:r w:rsidR="00621BF1">
        <w:rPr>
          <w:szCs w:val="24"/>
        </w:rPr>
        <w:fldChar w:fldCharType="separate"/>
      </w:r>
      <w:r w:rsidR="00DF5B69">
        <w:t xml:space="preserve">Table </w:t>
      </w:r>
      <w:r w:rsidR="00DF5B69">
        <w:rPr>
          <w:noProof/>
        </w:rPr>
        <w:t>I</w:t>
      </w:r>
      <w:r w:rsidR="00DF5B69">
        <w:noBreakHyphen/>
      </w:r>
      <w:r w:rsidR="00DF5B69">
        <w:rPr>
          <w:noProof/>
        </w:rPr>
        <w:t>6</w:t>
      </w:r>
      <w:r w:rsidR="00621BF1">
        <w:rPr>
          <w:szCs w:val="24"/>
        </w:rPr>
        <w:fldChar w:fldCharType="end"/>
      </w:r>
      <w:r w:rsidR="0007463E">
        <w:rPr>
          <w:szCs w:val="24"/>
        </w:rPr>
        <w:t>.</w:t>
      </w:r>
    </w:p>
    <w:p w14:paraId="0A3B5B2B" w14:textId="30ED3414" w:rsidR="0053151C" w:rsidRDefault="0053151C" w:rsidP="0053151C">
      <w:pPr>
        <w:pStyle w:val="Caption"/>
        <w:keepNext/>
      </w:pPr>
      <w:bookmarkStart w:id="111" w:name="_Ref513785690"/>
      <w:bookmarkStart w:id="112" w:name="_Toc513710534"/>
      <w:bookmarkStart w:id="113" w:name="_Toc187234641"/>
      <w:r>
        <w:t xml:space="preserve">Table </w:t>
      </w:r>
      <w:r w:rsidR="00161C58">
        <w:fldChar w:fldCharType="begin"/>
      </w:r>
      <w:r w:rsidR="00161C58">
        <w:instrText xml:space="preserve"> STYLEREF 1 \s </w:instrText>
      </w:r>
      <w:r w:rsidR="00161C58">
        <w:fldChar w:fldCharType="separate"/>
      </w:r>
      <w:r w:rsidR="00912EA8">
        <w:rPr>
          <w:noProof/>
        </w:rPr>
        <w:t>I</w:t>
      </w:r>
      <w:r w:rsidR="00161C58">
        <w:rPr>
          <w:noProof/>
        </w:rPr>
        <w:fldChar w:fldCharType="end"/>
      </w:r>
      <w:r w:rsidR="00922797">
        <w:noBreakHyphen/>
      </w:r>
      <w:r w:rsidR="00161C58">
        <w:fldChar w:fldCharType="begin"/>
      </w:r>
      <w:r w:rsidR="00161C58">
        <w:instrText xml:space="preserve"> SEQ Table \* ARABIC \s 1 </w:instrText>
      </w:r>
      <w:r w:rsidR="00161C58">
        <w:fldChar w:fldCharType="separate"/>
      </w:r>
      <w:r w:rsidR="00810064">
        <w:rPr>
          <w:noProof/>
        </w:rPr>
        <w:t>6</w:t>
      </w:r>
      <w:r w:rsidR="00161C58">
        <w:rPr>
          <w:noProof/>
        </w:rPr>
        <w:fldChar w:fldCharType="end"/>
      </w:r>
      <w:bookmarkEnd w:id="111"/>
      <w:r>
        <w:t>.</w:t>
      </w:r>
      <w:r>
        <w:rPr>
          <w:noProof/>
        </w:rPr>
        <w:t xml:space="preserve"> Steam Unit Sample Time to Fail and Time to Repair Data</w:t>
      </w:r>
      <w:bookmarkEnd w:id="112"/>
      <w:bookmarkEnd w:id="113"/>
    </w:p>
    <w:tbl>
      <w:tblPr>
        <w:tblW w:w="3660" w:type="dxa"/>
        <w:jc w:val="center"/>
        <w:tblLook w:val="04A0" w:firstRow="1" w:lastRow="0" w:firstColumn="1" w:lastColumn="0" w:noHBand="0" w:noVBand="1"/>
      </w:tblPr>
      <w:tblGrid>
        <w:gridCol w:w="1260"/>
        <w:gridCol w:w="1200"/>
        <w:gridCol w:w="1200"/>
      </w:tblGrid>
      <w:tr w:rsidR="00264FEF" w:rsidRPr="00264FEF" w14:paraId="0C526F4F" w14:textId="77777777" w:rsidTr="00FD55A8">
        <w:trPr>
          <w:trHeight w:val="900"/>
          <w:jc w:val="center"/>
        </w:trPr>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134331" w14:textId="77777777" w:rsidR="00264FEF" w:rsidRPr="00264FEF" w:rsidRDefault="00264FEF" w:rsidP="00264FEF">
            <w:pPr>
              <w:spacing w:line="240" w:lineRule="auto"/>
              <w:jc w:val="center"/>
              <w:rPr>
                <w:rFonts w:ascii="Calibri" w:hAnsi="Calibri" w:cs="Calibri"/>
                <w:b/>
                <w:bCs/>
                <w:color w:val="000000"/>
                <w:sz w:val="22"/>
                <w:szCs w:val="22"/>
              </w:rPr>
            </w:pPr>
            <w:r w:rsidRPr="00264FEF">
              <w:rPr>
                <w:rFonts w:ascii="Calibri" w:hAnsi="Calibri" w:cs="Calibri"/>
                <w:b/>
                <w:bCs/>
                <w:color w:val="000000"/>
                <w:sz w:val="22"/>
                <w:szCs w:val="22"/>
              </w:rPr>
              <w:t>Unit Name</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5C05B778" w14:textId="77777777" w:rsidR="00264FEF" w:rsidRPr="00264FEF" w:rsidRDefault="00264FEF" w:rsidP="00264FEF">
            <w:pPr>
              <w:spacing w:line="240" w:lineRule="auto"/>
              <w:jc w:val="center"/>
              <w:rPr>
                <w:rFonts w:ascii="Calibri" w:hAnsi="Calibri" w:cs="Calibri"/>
                <w:b/>
                <w:bCs/>
                <w:color w:val="000000"/>
                <w:sz w:val="22"/>
                <w:szCs w:val="22"/>
              </w:rPr>
            </w:pPr>
            <w:r w:rsidRPr="00264FEF">
              <w:rPr>
                <w:rFonts w:ascii="Calibri" w:hAnsi="Calibri" w:cs="Calibri"/>
                <w:b/>
                <w:bCs/>
                <w:color w:val="000000"/>
                <w:sz w:val="22"/>
                <w:szCs w:val="22"/>
              </w:rPr>
              <w:t>Time-to-</w:t>
            </w:r>
            <w:r w:rsidRPr="00264FEF">
              <w:rPr>
                <w:rFonts w:ascii="Calibri" w:hAnsi="Calibri" w:cs="Calibri"/>
                <w:b/>
                <w:bCs/>
                <w:color w:val="000000"/>
                <w:sz w:val="22"/>
                <w:szCs w:val="22"/>
              </w:rPr>
              <w:br/>
              <w:t xml:space="preserve">Fail </w:t>
            </w:r>
            <w:r w:rsidRPr="00264FEF">
              <w:rPr>
                <w:rFonts w:ascii="Calibri" w:hAnsi="Calibri" w:cs="Calibri"/>
                <w:b/>
                <w:bCs/>
                <w:color w:val="000000"/>
                <w:sz w:val="22"/>
                <w:szCs w:val="22"/>
              </w:rPr>
              <w:br/>
              <w:t>(hours)</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625C5C6B" w14:textId="77777777" w:rsidR="00264FEF" w:rsidRPr="00264FEF" w:rsidRDefault="00264FEF" w:rsidP="00264FEF">
            <w:pPr>
              <w:spacing w:line="240" w:lineRule="auto"/>
              <w:jc w:val="center"/>
              <w:rPr>
                <w:rFonts w:ascii="Calibri" w:hAnsi="Calibri" w:cs="Calibri"/>
                <w:b/>
                <w:bCs/>
                <w:color w:val="000000"/>
                <w:sz w:val="22"/>
                <w:szCs w:val="22"/>
              </w:rPr>
            </w:pPr>
            <w:r w:rsidRPr="00264FEF">
              <w:rPr>
                <w:rFonts w:ascii="Calibri" w:hAnsi="Calibri" w:cs="Calibri"/>
                <w:b/>
                <w:bCs/>
                <w:color w:val="000000"/>
                <w:sz w:val="22"/>
                <w:szCs w:val="22"/>
              </w:rPr>
              <w:t>Time-to-</w:t>
            </w:r>
            <w:r w:rsidRPr="00264FEF">
              <w:rPr>
                <w:rFonts w:ascii="Calibri" w:hAnsi="Calibri" w:cs="Calibri"/>
                <w:b/>
                <w:bCs/>
                <w:color w:val="000000"/>
                <w:sz w:val="22"/>
                <w:szCs w:val="22"/>
              </w:rPr>
              <w:br/>
              <w:t>Repair (hours)</w:t>
            </w:r>
          </w:p>
        </w:tc>
      </w:tr>
      <w:tr w:rsidR="00264FEF" w:rsidRPr="00264FEF" w14:paraId="523FC0DF" w14:textId="77777777" w:rsidTr="00FD55A8">
        <w:trPr>
          <w:trHeight w:val="300"/>
          <w:jc w:val="center"/>
        </w:trPr>
        <w:tc>
          <w:tcPr>
            <w:tcW w:w="1260" w:type="dxa"/>
            <w:vMerge w:val="restart"/>
            <w:tcBorders>
              <w:top w:val="nil"/>
              <w:left w:val="single" w:sz="4" w:space="0" w:color="auto"/>
              <w:bottom w:val="single" w:sz="4" w:space="0" w:color="auto"/>
              <w:right w:val="single" w:sz="4" w:space="0" w:color="auto"/>
            </w:tcBorders>
            <w:shd w:val="clear" w:color="auto" w:fill="auto"/>
            <w:vAlign w:val="center"/>
            <w:hideMark/>
          </w:tcPr>
          <w:p w14:paraId="5184D588"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 xml:space="preserve">Sample </w:t>
            </w:r>
            <w:r w:rsidRPr="00264FEF">
              <w:rPr>
                <w:rFonts w:ascii="Calibri" w:hAnsi="Calibri" w:cs="Calibri"/>
                <w:color w:val="000000"/>
                <w:sz w:val="22"/>
                <w:szCs w:val="22"/>
              </w:rPr>
              <w:br/>
              <w:t>Plant</w:t>
            </w:r>
          </w:p>
        </w:tc>
        <w:tc>
          <w:tcPr>
            <w:tcW w:w="1200" w:type="dxa"/>
            <w:tcBorders>
              <w:top w:val="nil"/>
              <w:left w:val="nil"/>
              <w:bottom w:val="single" w:sz="4" w:space="0" w:color="auto"/>
              <w:right w:val="single" w:sz="4" w:space="0" w:color="auto"/>
            </w:tcBorders>
            <w:shd w:val="clear" w:color="auto" w:fill="auto"/>
            <w:noWrap/>
            <w:vAlign w:val="bottom"/>
            <w:hideMark/>
          </w:tcPr>
          <w:p w14:paraId="7000A635"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2165</w:t>
            </w:r>
          </w:p>
        </w:tc>
        <w:tc>
          <w:tcPr>
            <w:tcW w:w="1200" w:type="dxa"/>
            <w:tcBorders>
              <w:top w:val="nil"/>
              <w:left w:val="nil"/>
              <w:bottom w:val="single" w:sz="4" w:space="0" w:color="auto"/>
              <w:right w:val="single" w:sz="4" w:space="0" w:color="auto"/>
            </w:tcBorders>
            <w:shd w:val="clear" w:color="auto" w:fill="auto"/>
            <w:noWrap/>
            <w:vAlign w:val="bottom"/>
            <w:hideMark/>
          </w:tcPr>
          <w:p w14:paraId="63F53D5B"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29</w:t>
            </w:r>
          </w:p>
        </w:tc>
      </w:tr>
      <w:tr w:rsidR="00264FEF" w:rsidRPr="00264FEF" w14:paraId="73FC062D" w14:textId="77777777" w:rsidTr="00FD55A8">
        <w:trPr>
          <w:trHeight w:val="300"/>
          <w:jc w:val="center"/>
        </w:trPr>
        <w:tc>
          <w:tcPr>
            <w:tcW w:w="1260" w:type="dxa"/>
            <w:vMerge/>
            <w:tcBorders>
              <w:top w:val="nil"/>
              <w:left w:val="single" w:sz="4" w:space="0" w:color="auto"/>
              <w:bottom w:val="single" w:sz="4" w:space="0" w:color="auto"/>
              <w:right w:val="single" w:sz="4" w:space="0" w:color="auto"/>
            </w:tcBorders>
            <w:vAlign w:val="center"/>
            <w:hideMark/>
          </w:tcPr>
          <w:p w14:paraId="72D70BAB" w14:textId="77777777" w:rsidR="00264FEF" w:rsidRPr="00264FEF" w:rsidRDefault="00264FEF" w:rsidP="00264FEF">
            <w:pPr>
              <w:spacing w:line="240" w:lineRule="auto"/>
              <w:jc w:val="left"/>
              <w:rPr>
                <w:rFonts w:ascii="Calibri" w:hAnsi="Calibri" w:cs="Calibri"/>
                <w:color w:val="000000"/>
                <w:sz w:val="22"/>
                <w:szCs w:val="22"/>
              </w:rPr>
            </w:pPr>
          </w:p>
        </w:tc>
        <w:tc>
          <w:tcPr>
            <w:tcW w:w="1200" w:type="dxa"/>
            <w:tcBorders>
              <w:top w:val="nil"/>
              <w:left w:val="nil"/>
              <w:bottom w:val="single" w:sz="4" w:space="0" w:color="auto"/>
              <w:right w:val="single" w:sz="4" w:space="0" w:color="auto"/>
            </w:tcBorders>
            <w:shd w:val="clear" w:color="auto" w:fill="auto"/>
            <w:noWrap/>
            <w:vAlign w:val="bottom"/>
            <w:hideMark/>
          </w:tcPr>
          <w:p w14:paraId="3EE78519"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3069</w:t>
            </w:r>
          </w:p>
        </w:tc>
        <w:tc>
          <w:tcPr>
            <w:tcW w:w="1200" w:type="dxa"/>
            <w:tcBorders>
              <w:top w:val="nil"/>
              <w:left w:val="nil"/>
              <w:bottom w:val="single" w:sz="4" w:space="0" w:color="auto"/>
              <w:right w:val="single" w:sz="4" w:space="0" w:color="auto"/>
            </w:tcBorders>
            <w:shd w:val="clear" w:color="auto" w:fill="auto"/>
            <w:noWrap/>
            <w:vAlign w:val="bottom"/>
            <w:hideMark/>
          </w:tcPr>
          <w:p w14:paraId="52E9F22A"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3</w:t>
            </w:r>
          </w:p>
        </w:tc>
      </w:tr>
      <w:tr w:rsidR="00264FEF" w:rsidRPr="00264FEF" w14:paraId="5C51FE3D" w14:textId="77777777" w:rsidTr="00FD55A8">
        <w:trPr>
          <w:trHeight w:val="300"/>
          <w:jc w:val="center"/>
        </w:trPr>
        <w:tc>
          <w:tcPr>
            <w:tcW w:w="1260" w:type="dxa"/>
            <w:vMerge/>
            <w:tcBorders>
              <w:top w:val="nil"/>
              <w:left w:val="single" w:sz="4" w:space="0" w:color="auto"/>
              <w:bottom w:val="single" w:sz="4" w:space="0" w:color="auto"/>
              <w:right w:val="single" w:sz="4" w:space="0" w:color="auto"/>
            </w:tcBorders>
            <w:vAlign w:val="center"/>
            <w:hideMark/>
          </w:tcPr>
          <w:p w14:paraId="2685F325" w14:textId="77777777" w:rsidR="00264FEF" w:rsidRPr="00264FEF" w:rsidRDefault="00264FEF" w:rsidP="00264FEF">
            <w:pPr>
              <w:spacing w:line="240" w:lineRule="auto"/>
              <w:jc w:val="left"/>
              <w:rPr>
                <w:rFonts w:ascii="Calibri" w:hAnsi="Calibri" w:cs="Calibri"/>
                <w:color w:val="000000"/>
                <w:sz w:val="22"/>
                <w:szCs w:val="22"/>
              </w:rPr>
            </w:pPr>
          </w:p>
        </w:tc>
        <w:tc>
          <w:tcPr>
            <w:tcW w:w="1200" w:type="dxa"/>
            <w:tcBorders>
              <w:top w:val="nil"/>
              <w:left w:val="nil"/>
              <w:bottom w:val="single" w:sz="4" w:space="0" w:color="auto"/>
              <w:right w:val="single" w:sz="4" w:space="0" w:color="auto"/>
            </w:tcBorders>
            <w:shd w:val="clear" w:color="auto" w:fill="auto"/>
            <w:noWrap/>
            <w:vAlign w:val="bottom"/>
            <w:hideMark/>
          </w:tcPr>
          <w:p w14:paraId="7BCDA396"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696</w:t>
            </w:r>
          </w:p>
        </w:tc>
        <w:tc>
          <w:tcPr>
            <w:tcW w:w="1200" w:type="dxa"/>
            <w:tcBorders>
              <w:top w:val="nil"/>
              <w:left w:val="nil"/>
              <w:bottom w:val="single" w:sz="4" w:space="0" w:color="auto"/>
              <w:right w:val="single" w:sz="4" w:space="0" w:color="auto"/>
            </w:tcBorders>
            <w:shd w:val="clear" w:color="auto" w:fill="auto"/>
            <w:noWrap/>
            <w:vAlign w:val="bottom"/>
            <w:hideMark/>
          </w:tcPr>
          <w:p w14:paraId="1B09A6D5"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7</w:t>
            </w:r>
          </w:p>
        </w:tc>
      </w:tr>
      <w:tr w:rsidR="00264FEF" w:rsidRPr="00264FEF" w14:paraId="0825F81A" w14:textId="77777777" w:rsidTr="00FD55A8">
        <w:trPr>
          <w:trHeight w:val="300"/>
          <w:jc w:val="center"/>
        </w:trPr>
        <w:tc>
          <w:tcPr>
            <w:tcW w:w="1260" w:type="dxa"/>
            <w:vMerge/>
            <w:tcBorders>
              <w:top w:val="nil"/>
              <w:left w:val="single" w:sz="4" w:space="0" w:color="auto"/>
              <w:bottom w:val="single" w:sz="4" w:space="0" w:color="auto"/>
              <w:right w:val="single" w:sz="4" w:space="0" w:color="auto"/>
            </w:tcBorders>
            <w:vAlign w:val="center"/>
            <w:hideMark/>
          </w:tcPr>
          <w:p w14:paraId="5093413A" w14:textId="77777777" w:rsidR="00264FEF" w:rsidRPr="00264FEF" w:rsidRDefault="00264FEF" w:rsidP="00264FEF">
            <w:pPr>
              <w:spacing w:line="240" w:lineRule="auto"/>
              <w:jc w:val="left"/>
              <w:rPr>
                <w:rFonts w:ascii="Calibri" w:hAnsi="Calibri" w:cs="Calibri"/>
                <w:color w:val="000000"/>
                <w:sz w:val="22"/>
                <w:szCs w:val="22"/>
              </w:rPr>
            </w:pPr>
          </w:p>
        </w:tc>
        <w:tc>
          <w:tcPr>
            <w:tcW w:w="1200" w:type="dxa"/>
            <w:tcBorders>
              <w:top w:val="nil"/>
              <w:left w:val="nil"/>
              <w:bottom w:val="single" w:sz="4" w:space="0" w:color="auto"/>
              <w:right w:val="single" w:sz="4" w:space="0" w:color="auto"/>
            </w:tcBorders>
            <w:shd w:val="clear" w:color="auto" w:fill="auto"/>
            <w:noWrap/>
            <w:vAlign w:val="bottom"/>
            <w:hideMark/>
          </w:tcPr>
          <w:p w14:paraId="3C3A2A75"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2342</w:t>
            </w:r>
          </w:p>
        </w:tc>
        <w:tc>
          <w:tcPr>
            <w:tcW w:w="1200" w:type="dxa"/>
            <w:tcBorders>
              <w:top w:val="nil"/>
              <w:left w:val="nil"/>
              <w:bottom w:val="single" w:sz="4" w:space="0" w:color="auto"/>
              <w:right w:val="single" w:sz="4" w:space="0" w:color="auto"/>
            </w:tcBorders>
            <w:shd w:val="clear" w:color="auto" w:fill="auto"/>
            <w:noWrap/>
            <w:vAlign w:val="bottom"/>
            <w:hideMark/>
          </w:tcPr>
          <w:p w14:paraId="1E7BA2EC"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1</w:t>
            </w:r>
          </w:p>
        </w:tc>
      </w:tr>
      <w:tr w:rsidR="00264FEF" w:rsidRPr="00264FEF" w14:paraId="0EBCC341" w14:textId="77777777" w:rsidTr="00FD55A8">
        <w:trPr>
          <w:trHeight w:val="300"/>
          <w:jc w:val="center"/>
        </w:trPr>
        <w:tc>
          <w:tcPr>
            <w:tcW w:w="1260" w:type="dxa"/>
            <w:vMerge/>
            <w:tcBorders>
              <w:top w:val="nil"/>
              <w:left w:val="single" w:sz="4" w:space="0" w:color="auto"/>
              <w:bottom w:val="single" w:sz="4" w:space="0" w:color="auto"/>
              <w:right w:val="single" w:sz="4" w:space="0" w:color="auto"/>
            </w:tcBorders>
            <w:vAlign w:val="center"/>
            <w:hideMark/>
          </w:tcPr>
          <w:p w14:paraId="33ABB20C" w14:textId="77777777" w:rsidR="00264FEF" w:rsidRPr="00264FEF" w:rsidRDefault="00264FEF" w:rsidP="00264FEF">
            <w:pPr>
              <w:spacing w:line="240" w:lineRule="auto"/>
              <w:jc w:val="left"/>
              <w:rPr>
                <w:rFonts w:ascii="Calibri" w:hAnsi="Calibri" w:cs="Calibri"/>
                <w:color w:val="000000"/>
                <w:sz w:val="22"/>
                <w:szCs w:val="22"/>
              </w:rPr>
            </w:pPr>
          </w:p>
        </w:tc>
        <w:tc>
          <w:tcPr>
            <w:tcW w:w="1200" w:type="dxa"/>
            <w:tcBorders>
              <w:top w:val="nil"/>
              <w:left w:val="nil"/>
              <w:bottom w:val="single" w:sz="4" w:space="0" w:color="auto"/>
              <w:right w:val="single" w:sz="4" w:space="0" w:color="auto"/>
            </w:tcBorders>
            <w:shd w:val="clear" w:color="auto" w:fill="auto"/>
            <w:noWrap/>
            <w:vAlign w:val="bottom"/>
            <w:hideMark/>
          </w:tcPr>
          <w:p w14:paraId="5CDA3D77"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334</w:t>
            </w:r>
          </w:p>
        </w:tc>
        <w:tc>
          <w:tcPr>
            <w:tcW w:w="1200" w:type="dxa"/>
            <w:tcBorders>
              <w:top w:val="nil"/>
              <w:left w:val="nil"/>
              <w:bottom w:val="single" w:sz="4" w:space="0" w:color="auto"/>
              <w:right w:val="single" w:sz="4" w:space="0" w:color="auto"/>
            </w:tcBorders>
            <w:shd w:val="clear" w:color="auto" w:fill="auto"/>
            <w:noWrap/>
            <w:vAlign w:val="bottom"/>
            <w:hideMark/>
          </w:tcPr>
          <w:p w14:paraId="3B74E688"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11</w:t>
            </w:r>
          </w:p>
        </w:tc>
      </w:tr>
      <w:tr w:rsidR="00264FEF" w:rsidRPr="00264FEF" w14:paraId="3A8C867C" w14:textId="77777777" w:rsidTr="00FD55A8">
        <w:trPr>
          <w:trHeight w:val="300"/>
          <w:jc w:val="center"/>
        </w:trPr>
        <w:tc>
          <w:tcPr>
            <w:tcW w:w="1260" w:type="dxa"/>
            <w:vMerge/>
            <w:tcBorders>
              <w:top w:val="nil"/>
              <w:left w:val="single" w:sz="4" w:space="0" w:color="auto"/>
              <w:bottom w:val="single" w:sz="4" w:space="0" w:color="auto"/>
              <w:right w:val="single" w:sz="4" w:space="0" w:color="auto"/>
            </w:tcBorders>
            <w:vAlign w:val="center"/>
            <w:hideMark/>
          </w:tcPr>
          <w:p w14:paraId="7A9B51E7" w14:textId="77777777" w:rsidR="00264FEF" w:rsidRPr="00264FEF" w:rsidRDefault="00264FEF" w:rsidP="00264FEF">
            <w:pPr>
              <w:spacing w:line="240" w:lineRule="auto"/>
              <w:jc w:val="left"/>
              <w:rPr>
                <w:rFonts w:ascii="Calibri" w:hAnsi="Calibri" w:cs="Calibri"/>
                <w:color w:val="000000"/>
                <w:sz w:val="22"/>
                <w:szCs w:val="22"/>
              </w:rPr>
            </w:pPr>
          </w:p>
        </w:tc>
        <w:tc>
          <w:tcPr>
            <w:tcW w:w="1200" w:type="dxa"/>
            <w:tcBorders>
              <w:top w:val="nil"/>
              <w:left w:val="nil"/>
              <w:bottom w:val="single" w:sz="4" w:space="0" w:color="auto"/>
              <w:right w:val="single" w:sz="4" w:space="0" w:color="auto"/>
            </w:tcBorders>
            <w:shd w:val="clear" w:color="auto" w:fill="auto"/>
            <w:noWrap/>
            <w:vAlign w:val="bottom"/>
            <w:hideMark/>
          </w:tcPr>
          <w:p w14:paraId="33A1FB16"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1262</w:t>
            </w:r>
          </w:p>
        </w:tc>
        <w:tc>
          <w:tcPr>
            <w:tcW w:w="1200" w:type="dxa"/>
            <w:tcBorders>
              <w:top w:val="nil"/>
              <w:left w:val="nil"/>
              <w:bottom w:val="single" w:sz="4" w:space="0" w:color="auto"/>
              <w:right w:val="single" w:sz="4" w:space="0" w:color="auto"/>
            </w:tcBorders>
            <w:shd w:val="clear" w:color="auto" w:fill="auto"/>
            <w:noWrap/>
            <w:vAlign w:val="bottom"/>
            <w:hideMark/>
          </w:tcPr>
          <w:p w14:paraId="682A51AF"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5</w:t>
            </w:r>
          </w:p>
        </w:tc>
      </w:tr>
      <w:tr w:rsidR="00264FEF" w:rsidRPr="00264FEF" w14:paraId="3FD7F020" w14:textId="77777777" w:rsidTr="00FD55A8">
        <w:trPr>
          <w:trHeight w:val="300"/>
          <w:jc w:val="center"/>
        </w:trPr>
        <w:tc>
          <w:tcPr>
            <w:tcW w:w="1260" w:type="dxa"/>
            <w:vMerge/>
            <w:tcBorders>
              <w:top w:val="nil"/>
              <w:left w:val="single" w:sz="4" w:space="0" w:color="auto"/>
              <w:bottom w:val="single" w:sz="4" w:space="0" w:color="auto"/>
              <w:right w:val="single" w:sz="4" w:space="0" w:color="auto"/>
            </w:tcBorders>
            <w:vAlign w:val="center"/>
            <w:hideMark/>
          </w:tcPr>
          <w:p w14:paraId="3C1009B4" w14:textId="77777777" w:rsidR="00264FEF" w:rsidRPr="00264FEF" w:rsidRDefault="00264FEF" w:rsidP="00264FEF">
            <w:pPr>
              <w:spacing w:line="240" w:lineRule="auto"/>
              <w:jc w:val="left"/>
              <w:rPr>
                <w:rFonts w:ascii="Calibri" w:hAnsi="Calibri" w:cs="Calibri"/>
                <w:color w:val="000000"/>
                <w:sz w:val="22"/>
                <w:szCs w:val="22"/>
              </w:rPr>
            </w:pPr>
          </w:p>
        </w:tc>
        <w:tc>
          <w:tcPr>
            <w:tcW w:w="1200" w:type="dxa"/>
            <w:tcBorders>
              <w:top w:val="nil"/>
              <w:left w:val="nil"/>
              <w:bottom w:val="single" w:sz="4" w:space="0" w:color="auto"/>
              <w:right w:val="single" w:sz="4" w:space="0" w:color="auto"/>
            </w:tcBorders>
            <w:shd w:val="clear" w:color="auto" w:fill="auto"/>
            <w:noWrap/>
            <w:vAlign w:val="bottom"/>
            <w:hideMark/>
          </w:tcPr>
          <w:p w14:paraId="4E51233E"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5706</w:t>
            </w:r>
          </w:p>
        </w:tc>
        <w:tc>
          <w:tcPr>
            <w:tcW w:w="1200" w:type="dxa"/>
            <w:tcBorders>
              <w:top w:val="nil"/>
              <w:left w:val="nil"/>
              <w:bottom w:val="single" w:sz="4" w:space="0" w:color="auto"/>
              <w:right w:val="single" w:sz="4" w:space="0" w:color="auto"/>
            </w:tcBorders>
            <w:shd w:val="clear" w:color="auto" w:fill="auto"/>
            <w:noWrap/>
            <w:vAlign w:val="bottom"/>
            <w:hideMark/>
          </w:tcPr>
          <w:p w14:paraId="19C1EE19"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2</w:t>
            </w:r>
          </w:p>
        </w:tc>
      </w:tr>
      <w:tr w:rsidR="00264FEF" w:rsidRPr="00264FEF" w14:paraId="7CFFACB6" w14:textId="77777777" w:rsidTr="00FD55A8">
        <w:trPr>
          <w:trHeight w:val="300"/>
          <w:jc w:val="center"/>
        </w:trPr>
        <w:tc>
          <w:tcPr>
            <w:tcW w:w="1260" w:type="dxa"/>
            <w:vMerge/>
            <w:tcBorders>
              <w:top w:val="nil"/>
              <w:left w:val="single" w:sz="4" w:space="0" w:color="auto"/>
              <w:bottom w:val="single" w:sz="4" w:space="0" w:color="auto"/>
              <w:right w:val="single" w:sz="4" w:space="0" w:color="auto"/>
            </w:tcBorders>
            <w:vAlign w:val="center"/>
            <w:hideMark/>
          </w:tcPr>
          <w:p w14:paraId="5A23DA8F" w14:textId="77777777" w:rsidR="00264FEF" w:rsidRPr="00264FEF" w:rsidRDefault="00264FEF" w:rsidP="00264FEF">
            <w:pPr>
              <w:spacing w:line="240" w:lineRule="auto"/>
              <w:jc w:val="left"/>
              <w:rPr>
                <w:rFonts w:ascii="Calibri" w:hAnsi="Calibri" w:cs="Calibri"/>
                <w:color w:val="000000"/>
                <w:sz w:val="22"/>
                <w:szCs w:val="22"/>
              </w:rPr>
            </w:pPr>
          </w:p>
        </w:tc>
        <w:tc>
          <w:tcPr>
            <w:tcW w:w="1200" w:type="dxa"/>
            <w:tcBorders>
              <w:top w:val="nil"/>
              <w:left w:val="nil"/>
              <w:bottom w:val="single" w:sz="4" w:space="0" w:color="auto"/>
              <w:right w:val="single" w:sz="4" w:space="0" w:color="auto"/>
            </w:tcBorders>
            <w:shd w:val="clear" w:color="auto" w:fill="auto"/>
            <w:noWrap/>
            <w:vAlign w:val="bottom"/>
            <w:hideMark/>
          </w:tcPr>
          <w:p w14:paraId="2C847F1C"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1463</w:t>
            </w:r>
          </w:p>
        </w:tc>
        <w:tc>
          <w:tcPr>
            <w:tcW w:w="1200" w:type="dxa"/>
            <w:tcBorders>
              <w:top w:val="nil"/>
              <w:left w:val="nil"/>
              <w:bottom w:val="single" w:sz="4" w:space="0" w:color="auto"/>
              <w:right w:val="single" w:sz="4" w:space="0" w:color="auto"/>
            </w:tcBorders>
            <w:shd w:val="clear" w:color="auto" w:fill="auto"/>
            <w:noWrap/>
            <w:vAlign w:val="bottom"/>
            <w:hideMark/>
          </w:tcPr>
          <w:p w14:paraId="720D22DF"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4</w:t>
            </w:r>
          </w:p>
        </w:tc>
      </w:tr>
      <w:tr w:rsidR="00264FEF" w:rsidRPr="00264FEF" w14:paraId="76B3A1B2" w14:textId="77777777" w:rsidTr="00FD55A8">
        <w:trPr>
          <w:trHeight w:val="300"/>
          <w:jc w:val="center"/>
        </w:trPr>
        <w:tc>
          <w:tcPr>
            <w:tcW w:w="1260" w:type="dxa"/>
            <w:vMerge/>
            <w:tcBorders>
              <w:top w:val="nil"/>
              <w:left w:val="single" w:sz="4" w:space="0" w:color="auto"/>
              <w:bottom w:val="single" w:sz="4" w:space="0" w:color="auto"/>
              <w:right w:val="single" w:sz="4" w:space="0" w:color="auto"/>
            </w:tcBorders>
            <w:vAlign w:val="center"/>
            <w:hideMark/>
          </w:tcPr>
          <w:p w14:paraId="7791AAF0" w14:textId="77777777" w:rsidR="00264FEF" w:rsidRPr="00264FEF" w:rsidRDefault="00264FEF" w:rsidP="00264FEF">
            <w:pPr>
              <w:spacing w:line="240" w:lineRule="auto"/>
              <w:jc w:val="left"/>
              <w:rPr>
                <w:rFonts w:ascii="Calibri" w:hAnsi="Calibri" w:cs="Calibri"/>
                <w:color w:val="000000"/>
                <w:sz w:val="22"/>
                <w:szCs w:val="22"/>
              </w:rPr>
            </w:pPr>
          </w:p>
        </w:tc>
        <w:tc>
          <w:tcPr>
            <w:tcW w:w="1200" w:type="dxa"/>
            <w:tcBorders>
              <w:top w:val="nil"/>
              <w:left w:val="nil"/>
              <w:bottom w:val="single" w:sz="4" w:space="0" w:color="auto"/>
              <w:right w:val="single" w:sz="4" w:space="0" w:color="auto"/>
            </w:tcBorders>
            <w:shd w:val="clear" w:color="auto" w:fill="auto"/>
            <w:noWrap/>
            <w:vAlign w:val="bottom"/>
            <w:hideMark/>
          </w:tcPr>
          <w:p w14:paraId="2A57BDE3"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1915</w:t>
            </w:r>
          </w:p>
        </w:tc>
        <w:tc>
          <w:tcPr>
            <w:tcW w:w="1200" w:type="dxa"/>
            <w:tcBorders>
              <w:top w:val="nil"/>
              <w:left w:val="nil"/>
              <w:bottom w:val="single" w:sz="4" w:space="0" w:color="auto"/>
              <w:right w:val="single" w:sz="4" w:space="0" w:color="auto"/>
            </w:tcBorders>
            <w:shd w:val="clear" w:color="auto" w:fill="auto"/>
            <w:noWrap/>
            <w:vAlign w:val="bottom"/>
            <w:hideMark/>
          </w:tcPr>
          <w:p w14:paraId="031C7B52"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53</w:t>
            </w:r>
          </w:p>
        </w:tc>
      </w:tr>
      <w:tr w:rsidR="00264FEF" w:rsidRPr="00264FEF" w14:paraId="75ADAB9E" w14:textId="77777777" w:rsidTr="00FD55A8">
        <w:trPr>
          <w:trHeight w:val="300"/>
          <w:jc w:val="center"/>
        </w:trPr>
        <w:tc>
          <w:tcPr>
            <w:tcW w:w="1260" w:type="dxa"/>
            <w:vMerge/>
            <w:tcBorders>
              <w:top w:val="nil"/>
              <w:left w:val="single" w:sz="4" w:space="0" w:color="auto"/>
              <w:bottom w:val="single" w:sz="4" w:space="0" w:color="auto"/>
              <w:right w:val="single" w:sz="4" w:space="0" w:color="auto"/>
            </w:tcBorders>
            <w:vAlign w:val="center"/>
            <w:hideMark/>
          </w:tcPr>
          <w:p w14:paraId="644F309C" w14:textId="77777777" w:rsidR="00264FEF" w:rsidRPr="00264FEF" w:rsidRDefault="00264FEF" w:rsidP="00264FEF">
            <w:pPr>
              <w:spacing w:line="240" w:lineRule="auto"/>
              <w:jc w:val="left"/>
              <w:rPr>
                <w:rFonts w:ascii="Calibri" w:hAnsi="Calibri" w:cs="Calibri"/>
                <w:color w:val="000000"/>
                <w:sz w:val="22"/>
                <w:szCs w:val="22"/>
              </w:rPr>
            </w:pPr>
          </w:p>
        </w:tc>
        <w:tc>
          <w:tcPr>
            <w:tcW w:w="1200" w:type="dxa"/>
            <w:tcBorders>
              <w:top w:val="nil"/>
              <w:left w:val="nil"/>
              <w:bottom w:val="single" w:sz="4" w:space="0" w:color="auto"/>
              <w:right w:val="single" w:sz="4" w:space="0" w:color="auto"/>
            </w:tcBorders>
            <w:shd w:val="clear" w:color="auto" w:fill="auto"/>
            <w:noWrap/>
            <w:vAlign w:val="bottom"/>
            <w:hideMark/>
          </w:tcPr>
          <w:p w14:paraId="4D08C6AF"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4010</w:t>
            </w:r>
          </w:p>
        </w:tc>
        <w:tc>
          <w:tcPr>
            <w:tcW w:w="1200" w:type="dxa"/>
            <w:tcBorders>
              <w:top w:val="nil"/>
              <w:left w:val="nil"/>
              <w:bottom w:val="single" w:sz="4" w:space="0" w:color="auto"/>
              <w:right w:val="single" w:sz="4" w:space="0" w:color="auto"/>
            </w:tcBorders>
            <w:shd w:val="clear" w:color="auto" w:fill="auto"/>
            <w:noWrap/>
            <w:vAlign w:val="bottom"/>
            <w:hideMark/>
          </w:tcPr>
          <w:p w14:paraId="64BB04A2"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9</w:t>
            </w:r>
          </w:p>
        </w:tc>
      </w:tr>
      <w:tr w:rsidR="00264FEF" w:rsidRPr="00264FEF" w14:paraId="7CBF591C" w14:textId="77777777" w:rsidTr="00FD55A8">
        <w:trPr>
          <w:trHeight w:val="300"/>
          <w:jc w:val="center"/>
        </w:trPr>
        <w:tc>
          <w:tcPr>
            <w:tcW w:w="1260" w:type="dxa"/>
            <w:vMerge/>
            <w:tcBorders>
              <w:top w:val="nil"/>
              <w:left w:val="single" w:sz="4" w:space="0" w:color="auto"/>
              <w:bottom w:val="single" w:sz="4" w:space="0" w:color="auto"/>
              <w:right w:val="single" w:sz="4" w:space="0" w:color="auto"/>
            </w:tcBorders>
            <w:vAlign w:val="center"/>
            <w:hideMark/>
          </w:tcPr>
          <w:p w14:paraId="229DB467" w14:textId="77777777" w:rsidR="00264FEF" w:rsidRPr="00264FEF" w:rsidRDefault="00264FEF" w:rsidP="00264FEF">
            <w:pPr>
              <w:spacing w:line="240" w:lineRule="auto"/>
              <w:jc w:val="left"/>
              <w:rPr>
                <w:rFonts w:ascii="Calibri" w:hAnsi="Calibri" w:cs="Calibri"/>
                <w:color w:val="000000"/>
                <w:sz w:val="22"/>
                <w:szCs w:val="22"/>
              </w:rPr>
            </w:pPr>
          </w:p>
        </w:tc>
        <w:tc>
          <w:tcPr>
            <w:tcW w:w="1200" w:type="dxa"/>
            <w:tcBorders>
              <w:top w:val="nil"/>
              <w:left w:val="nil"/>
              <w:bottom w:val="single" w:sz="4" w:space="0" w:color="auto"/>
              <w:right w:val="single" w:sz="4" w:space="0" w:color="auto"/>
            </w:tcBorders>
            <w:shd w:val="clear" w:color="auto" w:fill="auto"/>
            <w:noWrap/>
            <w:vAlign w:val="bottom"/>
            <w:hideMark/>
          </w:tcPr>
          <w:p w14:paraId="171E8B64"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9</w:t>
            </w:r>
          </w:p>
        </w:tc>
        <w:tc>
          <w:tcPr>
            <w:tcW w:w="1200" w:type="dxa"/>
            <w:tcBorders>
              <w:top w:val="nil"/>
              <w:left w:val="nil"/>
              <w:bottom w:val="single" w:sz="4" w:space="0" w:color="auto"/>
              <w:right w:val="single" w:sz="4" w:space="0" w:color="auto"/>
            </w:tcBorders>
            <w:shd w:val="clear" w:color="auto" w:fill="auto"/>
            <w:noWrap/>
            <w:vAlign w:val="bottom"/>
            <w:hideMark/>
          </w:tcPr>
          <w:p w14:paraId="09D6491B" w14:textId="77777777" w:rsidR="00264FEF" w:rsidRPr="00264FEF" w:rsidRDefault="00264FEF" w:rsidP="00264FEF">
            <w:pPr>
              <w:spacing w:line="240" w:lineRule="auto"/>
              <w:jc w:val="center"/>
              <w:rPr>
                <w:rFonts w:ascii="Calibri" w:hAnsi="Calibri" w:cs="Calibri"/>
                <w:color w:val="000000"/>
                <w:sz w:val="22"/>
                <w:szCs w:val="22"/>
              </w:rPr>
            </w:pPr>
            <w:r w:rsidRPr="00264FEF">
              <w:rPr>
                <w:rFonts w:ascii="Calibri" w:hAnsi="Calibri" w:cs="Calibri"/>
                <w:color w:val="000000"/>
                <w:sz w:val="22"/>
                <w:szCs w:val="22"/>
              </w:rPr>
              <w:t>90</w:t>
            </w:r>
          </w:p>
        </w:tc>
      </w:tr>
    </w:tbl>
    <w:p w14:paraId="6E9081E0" w14:textId="77777777" w:rsidR="004B49A6" w:rsidRDefault="004B49A6" w:rsidP="00217F0E">
      <w:pPr>
        <w:rPr>
          <w:szCs w:val="24"/>
        </w:rPr>
      </w:pPr>
    </w:p>
    <w:p w14:paraId="4590F348" w14:textId="77777777" w:rsidR="00264FEF" w:rsidRPr="00574669" w:rsidRDefault="00264FEF" w:rsidP="00217F0E">
      <w:pPr>
        <w:rPr>
          <w:szCs w:val="24"/>
        </w:rPr>
      </w:pPr>
    </w:p>
    <w:p w14:paraId="38D36690" w14:textId="2BBF4A5F" w:rsidR="00922AC9" w:rsidRDefault="004B49A6" w:rsidP="00922AC9">
      <w:pPr>
        <w:rPr>
          <w:szCs w:val="24"/>
        </w:rPr>
      </w:pPr>
      <w:r w:rsidRPr="00574669">
        <w:rPr>
          <w:szCs w:val="24"/>
        </w:rPr>
        <w:t xml:space="preserve">Most steam units have their own specific outage history. However, the outage history of similar units </w:t>
      </w:r>
      <w:r w:rsidR="003C0ABE">
        <w:rPr>
          <w:szCs w:val="24"/>
        </w:rPr>
        <w:t>has</w:t>
      </w:r>
      <w:r w:rsidRPr="00574669">
        <w:rPr>
          <w:szCs w:val="24"/>
        </w:rPr>
        <w:t xml:space="preserve"> been combined to get a robust set of data from which to take random</w:t>
      </w:r>
      <w:r>
        <w:rPr>
          <w:szCs w:val="24"/>
        </w:rPr>
        <w:t xml:space="preserve"> outage draws. </w:t>
      </w:r>
      <w:r w:rsidRPr="00217F0E">
        <w:rPr>
          <w:szCs w:val="24"/>
        </w:rPr>
        <w:t>Units</w:t>
      </w:r>
      <w:r w:rsidR="00957BF4">
        <w:rPr>
          <w:szCs w:val="24"/>
        </w:rPr>
        <w:t xml:space="preserve"> with similar history and units</w:t>
      </w:r>
      <w:r w:rsidRPr="00217F0E">
        <w:rPr>
          <w:szCs w:val="24"/>
        </w:rPr>
        <w:t xml:space="preserve"> </w:t>
      </w:r>
      <w:r>
        <w:rPr>
          <w:szCs w:val="24"/>
        </w:rPr>
        <w:t xml:space="preserve">for which no </w:t>
      </w:r>
      <w:r w:rsidRPr="00217F0E">
        <w:rPr>
          <w:szCs w:val="24"/>
        </w:rPr>
        <w:t xml:space="preserve">outage history </w:t>
      </w:r>
      <w:r>
        <w:rPr>
          <w:szCs w:val="24"/>
        </w:rPr>
        <w:t xml:space="preserve">was available </w:t>
      </w:r>
      <w:r w:rsidRPr="00217F0E">
        <w:rPr>
          <w:szCs w:val="24"/>
        </w:rPr>
        <w:t xml:space="preserve">were modeled </w:t>
      </w:r>
      <w:r w:rsidR="007B2388">
        <w:rPr>
          <w:szCs w:val="24"/>
        </w:rPr>
        <w:t>using</w:t>
      </w:r>
      <w:r w:rsidRPr="00372AC4">
        <w:rPr>
          <w:szCs w:val="24"/>
        </w:rPr>
        <w:t xml:space="preserve"> </w:t>
      </w:r>
      <w:r w:rsidR="00957BF4">
        <w:rPr>
          <w:szCs w:val="24"/>
        </w:rPr>
        <w:t xml:space="preserve">a </w:t>
      </w:r>
      <w:r w:rsidRPr="00372AC4">
        <w:rPr>
          <w:szCs w:val="24"/>
        </w:rPr>
        <w:t>similar</w:t>
      </w:r>
      <w:r w:rsidR="00957BF4">
        <w:rPr>
          <w:szCs w:val="24"/>
        </w:rPr>
        <w:t xml:space="preserve"> reference</w:t>
      </w:r>
      <w:r w:rsidRPr="00372AC4">
        <w:rPr>
          <w:szCs w:val="24"/>
        </w:rPr>
        <w:t xml:space="preserve"> unit.</w:t>
      </w:r>
    </w:p>
    <w:p w14:paraId="21126347" w14:textId="77777777" w:rsidR="00922AC9" w:rsidRDefault="00922AC9" w:rsidP="00217F0E">
      <w:pPr>
        <w:rPr>
          <w:szCs w:val="24"/>
        </w:rPr>
      </w:pPr>
    </w:p>
    <w:p w14:paraId="597760C6" w14:textId="788C00D7" w:rsidR="004B49A6" w:rsidRPr="00372AC4" w:rsidRDefault="004B49A6" w:rsidP="00F77FF1">
      <w:pPr>
        <w:rPr>
          <w:szCs w:val="24"/>
        </w:rPr>
      </w:pPr>
      <w:bookmarkStart w:id="114" w:name="_Toc342045835"/>
      <w:bookmarkStart w:id="115" w:name="_Toc342047122"/>
      <w:bookmarkStart w:id="116" w:name="_Toc342381409"/>
      <w:bookmarkStart w:id="117" w:name="_Toc222110676"/>
      <w:bookmarkEnd w:id="114"/>
      <w:bookmarkEnd w:id="115"/>
      <w:bookmarkEnd w:id="116"/>
      <w:r>
        <w:rPr>
          <w:szCs w:val="24"/>
        </w:rPr>
        <w:t>Partial outages</w:t>
      </w:r>
      <w:r w:rsidR="0034755B">
        <w:rPr>
          <w:szCs w:val="24"/>
        </w:rPr>
        <w:t>, which result in a derate of a unit,</w:t>
      </w:r>
      <w:r>
        <w:rPr>
          <w:szCs w:val="24"/>
        </w:rPr>
        <w:t xml:space="preserve"> are modeled using the same rigorous approach that is used for full outages. </w:t>
      </w:r>
      <w:r w:rsidR="00957BF4">
        <w:rPr>
          <w:szCs w:val="24"/>
        </w:rPr>
        <w:t>A</w:t>
      </w:r>
      <w:r w:rsidRPr="00217F0E">
        <w:rPr>
          <w:szCs w:val="24"/>
        </w:rPr>
        <w:t xml:space="preserve"> distribution is built for </w:t>
      </w:r>
      <w:r w:rsidRPr="00372AC4">
        <w:rPr>
          <w:szCs w:val="24"/>
        </w:rPr>
        <w:t>TTF events, TTR events, and the percentage derate. During the simulation, full outages and partial outages are tracked and randomly drawn.</w:t>
      </w:r>
    </w:p>
    <w:p w14:paraId="53C87ECB" w14:textId="77777777" w:rsidR="004B49A6" w:rsidRDefault="004B49A6" w:rsidP="00217F0E"/>
    <w:p w14:paraId="4DB51D0B" w14:textId="2E6D9D19" w:rsidR="004B49A6" w:rsidRPr="00372AC4" w:rsidRDefault="004B49A6" w:rsidP="00F77FF1">
      <w:pPr>
        <w:rPr>
          <w:szCs w:val="24"/>
        </w:rPr>
      </w:pPr>
      <w:r>
        <w:rPr>
          <w:szCs w:val="24"/>
        </w:rPr>
        <w:t>The availability data for the System’s</w:t>
      </w:r>
      <w:r w:rsidRPr="00421157">
        <w:rPr>
          <w:szCs w:val="24"/>
        </w:rPr>
        <w:t xml:space="preserve"> </w:t>
      </w:r>
      <w:r>
        <w:rPr>
          <w:szCs w:val="24"/>
        </w:rPr>
        <w:t xml:space="preserve">CC </w:t>
      </w:r>
      <w:r w:rsidRPr="00421157">
        <w:rPr>
          <w:szCs w:val="24"/>
        </w:rPr>
        <w:t>units</w:t>
      </w:r>
      <w:r>
        <w:rPr>
          <w:szCs w:val="24"/>
        </w:rPr>
        <w:t xml:space="preserve"> are modeled similarly to steam, with appropriate outage and derate TTF and TTR data.</w:t>
      </w:r>
      <w:r w:rsidRPr="00B138F0">
        <w:rPr>
          <w:szCs w:val="24"/>
        </w:rPr>
        <w:t xml:space="preserve"> Additionally, in real-time operations, the supplemental modes (</w:t>
      </w:r>
      <w:r w:rsidRPr="001657AE">
        <w:rPr>
          <w:i/>
          <w:szCs w:val="24"/>
        </w:rPr>
        <w:t>i.e.,</w:t>
      </w:r>
      <w:r w:rsidRPr="00B138F0">
        <w:rPr>
          <w:szCs w:val="24"/>
        </w:rPr>
        <w:t xml:space="preserve"> full pressure (</w:t>
      </w:r>
      <w:r w:rsidR="008E2FDE">
        <w:rPr>
          <w:szCs w:val="24"/>
        </w:rPr>
        <w:t>“</w:t>
      </w:r>
      <w:r w:rsidRPr="00B138F0">
        <w:rPr>
          <w:szCs w:val="24"/>
        </w:rPr>
        <w:t>FP</w:t>
      </w:r>
      <w:r w:rsidR="008E2FDE">
        <w:rPr>
          <w:szCs w:val="24"/>
        </w:rPr>
        <w:t>”</w:t>
      </w:r>
      <w:r w:rsidRPr="00B138F0">
        <w:rPr>
          <w:szCs w:val="24"/>
        </w:rPr>
        <w:t>) and power augmentation (</w:t>
      </w:r>
      <w:r w:rsidR="008E2FDE">
        <w:rPr>
          <w:szCs w:val="24"/>
        </w:rPr>
        <w:t>“</w:t>
      </w:r>
      <w:r w:rsidRPr="00B138F0">
        <w:rPr>
          <w:szCs w:val="24"/>
        </w:rPr>
        <w:t>PA</w:t>
      </w:r>
      <w:r w:rsidR="008E2FDE">
        <w:rPr>
          <w:szCs w:val="24"/>
        </w:rPr>
        <w:t>”</w:t>
      </w:r>
      <w:r w:rsidRPr="00B138F0">
        <w:rPr>
          <w:szCs w:val="24"/>
        </w:rPr>
        <w:t xml:space="preserve">) </w:t>
      </w:r>
      <w:r w:rsidRPr="00372AC4">
        <w:rPr>
          <w:szCs w:val="24"/>
        </w:rPr>
        <w:t>of a CC</w:t>
      </w:r>
      <w:r w:rsidR="004315D1">
        <w:rPr>
          <w:szCs w:val="24"/>
        </w:rPr>
        <w:t>)</w:t>
      </w:r>
      <w:r w:rsidRPr="00372AC4">
        <w:rPr>
          <w:szCs w:val="24"/>
        </w:rPr>
        <w:t xml:space="preserve"> are dispatched separately from the base operating mode. The supplemental modes have a higher heat rate value and, therefore, tend to be dispatched during the same demand periods as CTs.</w:t>
      </w:r>
    </w:p>
    <w:p w14:paraId="38280D08" w14:textId="77777777" w:rsidR="004B49A6" w:rsidRPr="00124600" w:rsidRDefault="004B49A6" w:rsidP="00217F0E"/>
    <w:p w14:paraId="4C8119B1" w14:textId="4709AC18" w:rsidR="00327FD4" w:rsidRDefault="00327FD4" w:rsidP="00922AC9">
      <w:pPr>
        <w:rPr>
          <w:szCs w:val="24"/>
        </w:rPr>
      </w:pPr>
      <w:bookmarkStart w:id="118" w:name="_Toc440262199"/>
      <w:bookmarkStart w:id="119" w:name="_Toc440447872"/>
      <w:bookmarkStart w:id="120" w:name="_Toc440457921"/>
      <w:r>
        <w:rPr>
          <w:szCs w:val="24"/>
        </w:rPr>
        <w:t>Due to this random outage draw process, i</w:t>
      </w:r>
      <w:r w:rsidR="004B49A6" w:rsidRPr="00372AC4">
        <w:rPr>
          <w:szCs w:val="24"/>
        </w:rPr>
        <w:t xml:space="preserve">ndividual unit operation is a direct reflection of what has happened over the selected sample years of data. </w:t>
      </w:r>
      <w:bookmarkEnd w:id="117"/>
      <w:bookmarkEnd w:id="118"/>
      <w:bookmarkEnd w:id="119"/>
      <w:bookmarkEnd w:id="120"/>
      <w:r w:rsidR="00922AC9">
        <w:rPr>
          <w:szCs w:val="24"/>
        </w:rPr>
        <w:t>The resulting f</w:t>
      </w:r>
      <w:r w:rsidR="00922AC9" w:rsidRPr="00372AC4">
        <w:rPr>
          <w:szCs w:val="24"/>
        </w:rPr>
        <w:t xml:space="preserve">orced outage rates, ratios of failed hours to operating hours, or ratios of failed hours to total hours are </w:t>
      </w:r>
      <w:r w:rsidR="00922AC9">
        <w:rPr>
          <w:szCs w:val="24"/>
        </w:rPr>
        <w:t xml:space="preserve">thus </w:t>
      </w:r>
      <w:r w:rsidR="00922AC9" w:rsidRPr="00372AC4">
        <w:rPr>
          <w:szCs w:val="24"/>
        </w:rPr>
        <w:t>outputs of the model rather than inputs.</w:t>
      </w:r>
      <w:r w:rsidR="00922AC9">
        <w:rPr>
          <w:szCs w:val="24"/>
        </w:rPr>
        <w:t xml:space="preserve"> Because</w:t>
      </w:r>
      <w:r w:rsidR="005A0E45">
        <w:rPr>
          <w:szCs w:val="24"/>
        </w:rPr>
        <w:t xml:space="preserve"> forced outage rates are</w:t>
      </w:r>
      <w:r w:rsidR="00922AC9">
        <w:rPr>
          <w:szCs w:val="24"/>
        </w:rPr>
        <w:t xml:space="preserve"> an output of the model, there can be minor differences in the resulting </w:t>
      </w:r>
      <w:r w:rsidR="00FD55A8">
        <w:rPr>
          <w:szCs w:val="24"/>
        </w:rPr>
        <w:t>Equivalent Forced Outage Rate (“</w:t>
      </w:r>
      <w:r w:rsidR="00922AC9">
        <w:rPr>
          <w:szCs w:val="24"/>
        </w:rPr>
        <w:t>EFOR</w:t>
      </w:r>
      <w:r w:rsidR="00FD55A8">
        <w:rPr>
          <w:szCs w:val="24"/>
        </w:rPr>
        <w:t>”)</w:t>
      </w:r>
      <w:r w:rsidR="00922AC9">
        <w:rPr>
          <w:szCs w:val="24"/>
        </w:rPr>
        <w:t xml:space="preserve"> from case to case, but with sufficient outage draw iterations in the simulation, the resulting </w:t>
      </w:r>
      <w:r w:rsidR="00DF1076">
        <w:rPr>
          <w:szCs w:val="24"/>
        </w:rPr>
        <w:t xml:space="preserve">EFOR should </w:t>
      </w:r>
      <w:r w:rsidR="00922AC9">
        <w:rPr>
          <w:szCs w:val="24"/>
        </w:rPr>
        <w:t>converge to an expected value.</w:t>
      </w:r>
      <w:r w:rsidR="00A648A6">
        <w:rPr>
          <w:szCs w:val="24"/>
        </w:rPr>
        <w:t xml:space="preserve"> </w:t>
      </w:r>
      <w:r w:rsidR="00264FEF">
        <w:rPr>
          <w:szCs w:val="24"/>
        </w:rPr>
        <w:fldChar w:fldCharType="begin"/>
      </w:r>
      <w:r w:rsidR="00264FEF">
        <w:rPr>
          <w:szCs w:val="24"/>
        </w:rPr>
        <w:instrText xml:space="preserve"> REF  _Ref84497058 \h </w:instrText>
      </w:r>
      <w:r w:rsidR="00264FEF">
        <w:rPr>
          <w:szCs w:val="24"/>
        </w:rPr>
      </w:r>
      <w:r w:rsidR="00264FEF">
        <w:rPr>
          <w:szCs w:val="24"/>
        </w:rPr>
        <w:fldChar w:fldCharType="separate"/>
      </w:r>
      <w:r w:rsidR="00556255">
        <w:t xml:space="preserve">Table </w:t>
      </w:r>
      <w:r w:rsidR="00556255">
        <w:rPr>
          <w:noProof/>
        </w:rPr>
        <w:t>I</w:t>
      </w:r>
      <w:r w:rsidR="00556255">
        <w:noBreakHyphen/>
      </w:r>
      <w:r w:rsidR="00556255">
        <w:rPr>
          <w:noProof/>
        </w:rPr>
        <w:t>7</w:t>
      </w:r>
      <w:r w:rsidR="00264FEF">
        <w:rPr>
          <w:szCs w:val="24"/>
        </w:rPr>
        <w:fldChar w:fldCharType="end"/>
      </w:r>
      <w:r w:rsidR="00922AC9">
        <w:rPr>
          <w:szCs w:val="24"/>
        </w:rPr>
        <w:t xml:space="preserve"> below shows the resulting EFOR from one of the simulated runs, </w:t>
      </w:r>
      <w:r w:rsidR="00F003CE" w:rsidRPr="00F003CE">
        <w:rPr>
          <w:szCs w:val="24"/>
        </w:rPr>
        <w:t xml:space="preserve">excluding any impacts from cold weather-related outages, </w:t>
      </w:r>
      <w:r w:rsidR="00922AC9">
        <w:rPr>
          <w:szCs w:val="24"/>
        </w:rPr>
        <w:t xml:space="preserve">which </w:t>
      </w:r>
      <w:r w:rsidR="002D6EA6">
        <w:rPr>
          <w:szCs w:val="24"/>
        </w:rPr>
        <w:t xml:space="preserve">is addressed in </w:t>
      </w:r>
      <w:r w:rsidR="000F6714">
        <w:rPr>
          <w:szCs w:val="24"/>
        </w:rPr>
        <w:t>the following section.</w:t>
      </w:r>
    </w:p>
    <w:p w14:paraId="0330D1A2" w14:textId="77777777" w:rsidR="000F6714" w:rsidRDefault="000F6714" w:rsidP="00922AC9">
      <w:pPr>
        <w:rPr>
          <w:szCs w:val="24"/>
        </w:rPr>
      </w:pPr>
    </w:p>
    <w:p w14:paraId="73019C05" w14:textId="13E33E83" w:rsidR="0053151C" w:rsidRDefault="0053151C" w:rsidP="0053151C">
      <w:pPr>
        <w:pStyle w:val="Caption"/>
        <w:keepNext/>
      </w:pPr>
      <w:bookmarkStart w:id="121" w:name="_Ref84497058"/>
      <w:bookmarkStart w:id="122" w:name="_Toc513710535"/>
      <w:bookmarkStart w:id="123" w:name="_Toc187234642"/>
      <w:r>
        <w:t xml:space="preserve">Table </w:t>
      </w:r>
      <w:r w:rsidR="00161C58">
        <w:fldChar w:fldCharType="begin"/>
      </w:r>
      <w:r w:rsidR="00161C58">
        <w:instrText xml:space="preserve"> STYLEREF 1 \s </w:instrText>
      </w:r>
      <w:r w:rsidR="00161C58">
        <w:fldChar w:fldCharType="separate"/>
      </w:r>
      <w:r w:rsidR="00161C58">
        <w:rPr>
          <w:noProof/>
        </w:rPr>
        <w:t>I</w:t>
      </w:r>
      <w:r w:rsidR="00161C58">
        <w:rPr>
          <w:noProof/>
        </w:rPr>
        <w:fldChar w:fldCharType="end"/>
      </w:r>
      <w:r w:rsidR="00922797">
        <w:noBreakHyphen/>
      </w:r>
      <w:r w:rsidR="00161C58">
        <w:fldChar w:fldCharType="begin"/>
      </w:r>
      <w:r w:rsidR="00161C58">
        <w:instrText xml:space="preserve"> SEQ Table \* ARABIC \s 1 </w:instrText>
      </w:r>
      <w:r w:rsidR="00161C58">
        <w:fldChar w:fldCharType="separate"/>
      </w:r>
      <w:r w:rsidR="00556255">
        <w:rPr>
          <w:noProof/>
        </w:rPr>
        <w:t>7</w:t>
      </w:r>
      <w:r w:rsidR="00161C58">
        <w:rPr>
          <w:noProof/>
        </w:rPr>
        <w:fldChar w:fldCharType="end"/>
      </w:r>
      <w:bookmarkEnd w:id="121"/>
      <w:r>
        <w:t>. Approximate EFOR by Unit Class</w:t>
      </w:r>
      <w:bookmarkEnd w:id="122"/>
      <w:bookmarkEnd w:id="123"/>
    </w:p>
    <w:tbl>
      <w:tblPr>
        <w:tblW w:w="2960" w:type="dxa"/>
        <w:jc w:val="center"/>
        <w:tblLook w:val="04A0" w:firstRow="1" w:lastRow="0" w:firstColumn="1" w:lastColumn="0" w:noHBand="0" w:noVBand="1"/>
      </w:tblPr>
      <w:tblGrid>
        <w:gridCol w:w="1780"/>
        <w:gridCol w:w="1180"/>
      </w:tblGrid>
      <w:tr w:rsidR="00556255" w:rsidRPr="00556255" w14:paraId="5633A2B5" w14:textId="77777777" w:rsidTr="00FD55A8">
        <w:trPr>
          <w:trHeight w:val="315"/>
          <w:jc w:val="center"/>
        </w:trPr>
        <w:tc>
          <w:tcPr>
            <w:tcW w:w="178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6E32ECBF" w14:textId="77777777" w:rsidR="00556255" w:rsidRPr="00556255" w:rsidRDefault="00556255" w:rsidP="00556255">
            <w:pPr>
              <w:spacing w:line="240" w:lineRule="auto"/>
              <w:jc w:val="left"/>
              <w:rPr>
                <w:rFonts w:ascii="Calibri" w:hAnsi="Calibri" w:cs="Calibri"/>
                <w:b/>
                <w:bCs/>
                <w:color w:val="000000"/>
                <w:sz w:val="22"/>
                <w:szCs w:val="22"/>
              </w:rPr>
            </w:pPr>
            <w:r w:rsidRPr="00556255">
              <w:rPr>
                <w:rFonts w:ascii="Calibri" w:hAnsi="Calibri" w:cs="Calibri"/>
                <w:b/>
                <w:bCs/>
                <w:color w:val="000000"/>
                <w:sz w:val="22"/>
                <w:szCs w:val="22"/>
              </w:rPr>
              <w:t>Unit Class</w:t>
            </w:r>
          </w:p>
        </w:tc>
        <w:tc>
          <w:tcPr>
            <w:tcW w:w="1180" w:type="dxa"/>
            <w:tcBorders>
              <w:top w:val="single" w:sz="8" w:space="0" w:color="auto"/>
              <w:left w:val="nil"/>
              <w:bottom w:val="single" w:sz="8" w:space="0" w:color="auto"/>
              <w:right w:val="single" w:sz="8" w:space="0" w:color="auto"/>
            </w:tcBorders>
            <w:shd w:val="clear" w:color="auto" w:fill="auto"/>
            <w:noWrap/>
            <w:vAlign w:val="bottom"/>
            <w:hideMark/>
          </w:tcPr>
          <w:p w14:paraId="32B14869" w14:textId="77777777" w:rsidR="00556255" w:rsidRPr="00556255" w:rsidRDefault="00556255" w:rsidP="00556255">
            <w:pPr>
              <w:spacing w:line="240" w:lineRule="auto"/>
              <w:jc w:val="center"/>
              <w:rPr>
                <w:rFonts w:ascii="Calibri" w:hAnsi="Calibri" w:cs="Calibri"/>
                <w:b/>
                <w:bCs/>
                <w:color w:val="000000"/>
                <w:sz w:val="22"/>
                <w:szCs w:val="22"/>
              </w:rPr>
            </w:pPr>
            <w:r w:rsidRPr="00556255">
              <w:rPr>
                <w:rFonts w:ascii="Calibri" w:hAnsi="Calibri" w:cs="Calibri"/>
                <w:b/>
                <w:bCs/>
                <w:color w:val="000000"/>
                <w:sz w:val="22"/>
                <w:szCs w:val="22"/>
              </w:rPr>
              <w:t>EFOR (%)</w:t>
            </w:r>
          </w:p>
        </w:tc>
      </w:tr>
      <w:tr w:rsidR="00556255" w:rsidRPr="00556255" w14:paraId="27CEC7B8" w14:textId="77777777" w:rsidTr="00FD55A8">
        <w:trPr>
          <w:trHeight w:val="300"/>
          <w:jc w:val="center"/>
        </w:trPr>
        <w:tc>
          <w:tcPr>
            <w:tcW w:w="1780" w:type="dxa"/>
            <w:tcBorders>
              <w:top w:val="nil"/>
              <w:left w:val="single" w:sz="8" w:space="0" w:color="auto"/>
              <w:bottom w:val="single" w:sz="4" w:space="0" w:color="auto"/>
              <w:right w:val="single" w:sz="4" w:space="0" w:color="auto"/>
            </w:tcBorders>
            <w:shd w:val="clear" w:color="auto" w:fill="auto"/>
            <w:noWrap/>
            <w:vAlign w:val="bottom"/>
            <w:hideMark/>
          </w:tcPr>
          <w:p w14:paraId="15F5ED4C" w14:textId="77777777" w:rsidR="00556255" w:rsidRPr="00556255" w:rsidRDefault="00556255" w:rsidP="00556255">
            <w:pPr>
              <w:spacing w:line="240" w:lineRule="auto"/>
              <w:jc w:val="left"/>
              <w:rPr>
                <w:rFonts w:ascii="Calibri" w:hAnsi="Calibri" w:cs="Calibri"/>
                <w:color w:val="000000"/>
                <w:sz w:val="22"/>
                <w:szCs w:val="22"/>
              </w:rPr>
            </w:pPr>
            <w:r w:rsidRPr="00556255">
              <w:rPr>
                <w:rFonts w:ascii="Calibri" w:hAnsi="Calibri" w:cs="Calibri"/>
                <w:color w:val="000000"/>
                <w:sz w:val="22"/>
                <w:szCs w:val="22"/>
              </w:rPr>
              <w:t>Nuclear</w:t>
            </w:r>
          </w:p>
        </w:tc>
        <w:tc>
          <w:tcPr>
            <w:tcW w:w="1180" w:type="dxa"/>
            <w:tcBorders>
              <w:top w:val="nil"/>
              <w:left w:val="nil"/>
              <w:bottom w:val="single" w:sz="4" w:space="0" w:color="auto"/>
              <w:right w:val="single" w:sz="8" w:space="0" w:color="auto"/>
            </w:tcBorders>
            <w:shd w:val="clear" w:color="auto" w:fill="auto"/>
            <w:noWrap/>
            <w:vAlign w:val="bottom"/>
            <w:hideMark/>
          </w:tcPr>
          <w:p w14:paraId="169D3389" w14:textId="77777777" w:rsidR="00556255" w:rsidRPr="00556255" w:rsidRDefault="00556255" w:rsidP="00556255">
            <w:pPr>
              <w:spacing w:line="240" w:lineRule="auto"/>
              <w:jc w:val="center"/>
              <w:rPr>
                <w:rFonts w:ascii="Calibri" w:hAnsi="Calibri" w:cs="Calibri"/>
                <w:color w:val="000000"/>
                <w:sz w:val="22"/>
                <w:szCs w:val="22"/>
              </w:rPr>
            </w:pPr>
            <w:r w:rsidRPr="00556255">
              <w:rPr>
                <w:rFonts w:ascii="Calibri" w:hAnsi="Calibri" w:cs="Calibri"/>
                <w:color w:val="000000"/>
                <w:sz w:val="22"/>
                <w:szCs w:val="22"/>
              </w:rPr>
              <w:t>1.7</w:t>
            </w:r>
          </w:p>
        </w:tc>
      </w:tr>
      <w:tr w:rsidR="00556255" w:rsidRPr="00556255" w14:paraId="23A81DA2" w14:textId="77777777" w:rsidTr="00FD55A8">
        <w:trPr>
          <w:trHeight w:val="300"/>
          <w:jc w:val="center"/>
        </w:trPr>
        <w:tc>
          <w:tcPr>
            <w:tcW w:w="1780" w:type="dxa"/>
            <w:tcBorders>
              <w:top w:val="nil"/>
              <w:left w:val="single" w:sz="8" w:space="0" w:color="auto"/>
              <w:bottom w:val="single" w:sz="4" w:space="0" w:color="auto"/>
              <w:right w:val="single" w:sz="4" w:space="0" w:color="auto"/>
            </w:tcBorders>
            <w:shd w:val="clear" w:color="auto" w:fill="auto"/>
            <w:noWrap/>
            <w:vAlign w:val="bottom"/>
            <w:hideMark/>
          </w:tcPr>
          <w:p w14:paraId="42D0931E" w14:textId="77777777" w:rsidR="00556255" w:rsidRPr="00556255" w:rsidRDefault="00556255" w:rsidP="00556255">
            <w:pPr>
              <w:spacing w:line="240" w:lineRule="auto"/>
              <w:jc w:val="left"/>
              <w:rPr>
                <w:rFonts w:ascii="Calibri" w:hAnsi="Calibri" w:cs="Calibri"/>
                <w:color w:val="000000"/>
                <w:sz w:val="22"/>
                <w:szCs w:val="22"/>
              </w:rPr>
            </w:pPr>
            <w:r w:rsidRPr="00556255">
              <w:rPr>
                <w:rFonts w:ascii="Calibri" w:hAnsi="Calibri" w:cs="Calibri"/>
                <w:color w:val="000000"/>
                <w:sz w:val="22"/>
                <w:szCs w:val="22"/>
              </w:rPr>
              <w:t>Coal</w:t>
            </w:r>
          </w:p>
        </w:tc>
        <w:tc>
          <w:tcPr>
            <w:tcW w:w="1180" w:type="dxa"/>
            <w:tcBorders>
              <w:top w:val="nil"/>
              <w:left w:val="nil"/>
              <w:bottom w:val="single" w:sz="4" w:space="0" w:color="auto"/>
              <w:right w:val="single" w:sz="8" w:space="0" w:color="auto"/>
            </w:tcBorders>
            <w:shd w:val="clear" w:color="auto" w:fill="auto"/>
            <w:noWrap/>
            <w:vAlign w:val="bottom"/>
            <w:hideMark/>
          </w:tcPr>
          <w:p w14:paraId="56A8C55B" w14:textId="77777777" w:rsidR="00556255" w:rsidRPr="00556255" w:rsidRDefault="00556255" w:rsidP="00556255">
            <w:pPr>
              <w:spacing w:line="240" w:lineRule="auto"/>
              <w:jc w:val="center"/>
              <w:rPr>
                <w:rFonts w:ascii="Calibri" w:hAnsi="Calibri" w:cs="Calibri"/>
                <w:color w:val="000000"/>
                <w:sz w:val="22"/>
                <w:szCs w:val="22"/>
              </w:rPr>
            </w:pPr>
            <w:r w:rsidRPr="00556255">
              <w:rPr>
                <w:rFonts w:ascii="Calibri" w:hAnsi="Calibri" w:cs="Calibri"/>
                <w:color w:val="000000"/>
                <w:sz w:val="22"/>
                <w:szCs w:val="22"/>
              </w:rPr>
              <w:t>3.6</w:t>
            </w:r>
          </w:p>
        </w:tc>
      </w:tr>
      <w:tr w:rsidR="00556255" w:rsidRPr="00556255" w14:paraId="447CFBAC" w14:textId="77777777" w:rsidTr="00FD55A8">
        <w:trPr>
          <w:trHeight w:val="300"/>
          <w:jc w:val="center"/>
        </w:trPr>
        <w:tc>
          <w:tcPr>
            <w:tcW w:w="1780" w:type="dxa"/>
            <w:tcBorders>
              <w:top w:val="nil"/>
              <w:left w:val="single" w:sz="8" w:space="0" w:color="auto"/>
              <w:bottom w:val="single" w:sz="4" w:space="0" w:color="auto"/>
              <w:right w:val="single" w:sz="4" w:space="0" w:color="auto"/>
            </w:tcBorders>
            <w:shd w:val="clear" w:color="auto" w:fill="auto"/>
            <w:noWrap/>
            <w:vAlign w:val="bottom"/>
            <w:hideMark/>
          </w:tcPr>
          <w:p w14:paraId="0385A712" w14:textId="77777777" w:rsidR="00556255" w:rsidRPr="00556255" w:rsidRDefault="00556255" w:rsidP="00556255">
            <w:pPr>
              <w:spacing w:line="240" w:lineRule="auto"/>
              <w:jc w:val="left"/>
              <w:rPr>
                <w:rFonts w:ascii="Calibri" w:hAnsi="Calibri" w:cs="Calibri"/>
                <w:color w:val="000000"/>
                <w:sz w:val="22"/>
                <w:szCs w:val="22"/>
              </w:rPr>
            </w:pPr>
            <w:r w:rsidRPr="00556255">
              <w:rPr>
                <w:rFonts w:ascii="Calibri" w:hAnsi="Calibri" w:cs="Calibri"/>
                <w:color w:val="000000"/>
                <w:sz w:val="22"/>
                <w:szCs w:val="22"/>
              </w:rPr>
              <w:t>Gas Steam</w:t>
            </w:r>
          </w:p>
        </w:tc>
        <w:tc>
          <w:tcPr>
            <w:tcW w:w="1180" w:type="dxa"/>
            <w:tcBorders>
              <w:top w:val="nil"/>
              <w:left w:val="nil"/>
              <w:bottom w:val="single" w:sz="4" w:space="0" w:color="auto"/>
              <w:right w:val="single" w:sz="8" w:space="0" w:color="auto"/>
            </w:tcBorders>
            <w:shd w:val="clear" w:color="auto" w:fill="auto"/>
            <w:noWrap/>
            <w:vAlign w:val="bottom"/>
            <w:hideMark/>
          </w:tcPr>
          <w:p w14:paraId="39672180" w14:textId="77777777" w:rsidR="00556255" w:rsidRPr="00556255" w:rsidRDefault="00556255" w:rsidP="00556255">
            <w:pPr>
              <w:spacing w:line="240" w:lineRule="auto"/>
              <w:jc w:val="center"/>
              <w:rPr>
                <w:rFonts w:ascii="Calibri" w:hAnsi="Calibri" w:cs="Calibri"/>
                <w:color w:val="000000"/>
                <w:sz w:val="22"/>
                <w:szCs w:val="22"/>
              </w:rPr>
            </w:pPr>
            <w:r w:rsidRPr="00556255">
              <w:rPr>
                <w:rFonts w:ascii="Calibri" w:hAnsi="Calibri" w:cs="Calibri"/>
                <w:color w:val="000000"/>
                <w:sz w:val="22"/>
                <w:szCs w:val="22"/>
              </w:rPr>
              <w:t>2.6</w:t>
            </w:r>
          </w:p>
        </w:tc>
      </w:tr>
      <w:tr w:rsidR="00556255" w:rsidRPr="00556255" w14:paraId="2A0AE425" w14:textId="77777777" w:rsidTr="00FD55A8">
        <w:trPr>
          <w:trHeight w:val="300"/>
          <w:jc w:val="center"/>
        </w:trPr>
        <w:tc>
          <w:tcPr>
            <w:tcW w:w="1780" w:type="dxa"/>
            <w:tcBorders>
              <w:top w:val="nil"/>
              <w:left w:val="single" w:sz="8" w:space="0" w:color="auto"/>
              <w:bottom w:val="single" w:sz="4" w:space="0" w:color="auto"/>
              <w:right w:val="single" w:sz="4" w:space="0" w:color="auto"/>
            </w:tcBorders>
            <w:shd w:val="clear" w:color="auto" w:fill="auto"/>
            <w:noWrap/>
            <w:vAlign w:val="bottom"/>
            <w:hideMark/>
          </w:tcPr>
          <w:p w14:paraId="09CFDCF7" w14:textId="77777777" w:rsidR="00556255" w:rsidRPr="00556255" w:rsidRDefault="00556255" w:rsidP="00556255">
            <w:pPr>
              <w:spacing w:line="240" w:lineRule="auto"/>
              <w:jc w:val="left"/>
              <w:rPr>
                <w:rFonts w:ascii="Calibri" w:hAnsi="Calibri" w:cs="Calibri"/>
                <w:color w:val="000000"/>
                <w:sz w:val="22"/>
                <w:szCs w:val="22"/>
              </w:rPr>
            </w:pPr>
            <w:r w:rsidRPr="00556255">
              <w:rPr>
                <w:rFonts w:ascii="Calibri" w:hAnsi="Calibri" w:cs="Calibri"/>
                <w:color w:val="000000"/>
                <w:sz w:val="22"/>
                <w:szCs w:val="22"/>
              </w:rPr>
              <w:t>Combined Cycle</w:t>
            </w:r>
          </w:p>
        </w:tc>
        <w:tc>
          <w:tcPr>
            <w:tcW w:w="1180" w:type="dxa"/>
            <w:tcBorders>
              <w:top w:val="nil"/>
              <w:left w:val="nil"/>
              <w:bottom w:val="single" w:sz="4" w:space="0" w:color="auto"/>
              <w:right w:val="single" w:sz="8" w:space="0" w:color="auto"/>
            </w:tcBorders>
            <w:shd w:val="clear" w:color="auto" w:fill="auto"/>
            <w:noWrap/>
            <w:vAlign w:val="bottom"/>
            <w:hideMark/>
          </w:tcPr>
          <w:p w14:paraId="065C9D4A" w14:textId="77777777" w:rsidR="00556255" w:rsidRPr="00556255" w:rsidRDefault="00556255" w:rsidP="00556255">
            <w:pPr>
              <w:spacing w:line="240" w:lineRule="auto"/>
              <w:jc w:val="center"/>
              <w:rPr>
                <w:rFonts w:ascii="Calibri" w:hAnsi="Calibri" w:cs="Calibri"/>
                <w:color w:val="000000"/>
                <w:sz w:val="22"/>
                <w:szCs w:val="22"/>
              </w:rPr>
            </w:pPr>
            <w:r w:rsidRPr="00556255">
              <w:rPr>
                <w:rFonts w:ascii="Calibri" w:hAnsi="Calibri" w:cs="Calibri"/>
                <w:color w:val="000000"/>
                <w:sz w:val="22"/>
                <w:szCs w:val="22"/>
              </w:rPr>
              <w:t>1.4</w:t>
            </w:r>
          </w:p>
        </w:tc>
      </w:tr>
      <w:tr w:rsidR="00556255" w:rsidRPr="00556255" w14:paraId="051D69E5" w14:textId="77777777" w:rsidTr="00FD55A8">
        <w:trPr>
          <w:trHeight w:val="300"/>
          <w:jc w:val="center"/>
        </w:trPr>
        <w:tc>
          <w:tcPr>
            <w:tcW w:w="1780" w:type="dxa"/>
            <w:tcBorders>
              <w:top w:val="nil"/>
              <w:left w:val="single" w:sz="8" w:space="0" w:color="auto"/>
              <w:bottom w:val="single" w:sz="4" w:space="0" w:color="auto"/>
              <w:right w:val="single" w:sz="4" w:space="0" w:color="auto"/>
            </w:tcBorders>
            <w:shd w:val="clear" w:color="auto" w:fill="auto"/>
            <w:noWrap/>
            <w:vAlign w:val="bottom"/>
            <w:hideMark/>
          </w:tcPr>
          <w:p w14:paraId="7EDF251F" w14:textId="77777777" w:rsidR="00556255" w:rsidRPr="00556255" w:rsidRDefault="00556255" w:rsidP="00556255">
            <w:pPr>
              <w:spacing w:line="240" w:lineRule="auto"/>
              <w:jc w:val="left"/>
              <w:rPr>
                <w:rFonts w:ascii="Calibri" w:hAnsi="Calibri" w:cs="Calibri"/>
                <w:color w:val="000000"/>
                <w:sz w:val="22"/>
                <w:szCs w:val="22"/>
              </w:rPr>
            </w:pPr>
            <w:r w:rsidRPr="00556255">
              <w:rPr>
                <w:rFonts w:ascii="Calibri" w:hAnsi="Calibri" w:cs="Calibri"/>
                <w:color w:val="000000"/>
                <w:sz w:val="22"/>
                <w:szCs w:val="22"/>
              </w:rPr>
              <w:t>CTs</w:t>
            </w:r>
          </w:p>
        </w:tc>
        <w:tc>
          <w:tcPr>
            <w:tcW w:w="1180" w:type="dxa"/>
            <w:tcBorders>
              <w:top w:val="nil"/>
              <w:left w:val="nil"/>
              <w:bottom w:val="single" w:sz="4" w:space="0" w:color="auto"/>
              <w:right w:val="single" w:sz="8" w:space="0" w:color="auto"/>
            </w:tcBorders>
            <w:shd w:val="clear" w:color="auto" w:fill="auto"/>
            <w:noWrap/>
            <w:vAlign w:val="bottom"/>
            <w:hideMark/>
          </w:tcPr>
          <w:p w14:paraId="51A0139E" w14:textId="77777777" w:rsidR="00556255" w:rsidRPr="00556255" w:rsidRDefault="00556255" w:rsidP="00556255">
            <w:pPr>
              <w:spacing w:line="240" w:lineRule="auto"/>
              <w:jc w:val="center"/>
              <w:rPr>
                <w:rFonts w:ascii="Calibri" w:hAnsi="Calibri" w:cs="Calibri"/>
                <w:color w:val="000000"/>
                <w:sz w:val="22"/>
                <w:szCs w:val="22"/>
              </w:rPr>
            </w:pPr>
            <w:r w:rsidRPr="00556255">
              <w:rPr>
                <w:rFonts w:ascii="Calibri" w:hAnsi="Calibri" w:cs="Calibri"/>
                <w:color w:val="000000"/>
                <w:sz w:val="22"/>
                <w:szCs w:val="22"/>
              </w:rPr>
              <w:t>3.0</w:t>
            </w:r>
          </w:p>
        </w:tc>
      </w:tr>
      <w:tr w:rsidR="00556255" w:rsidRPr="00556255" w14:paraId="66DCDF07" w14:textId="77777777" w:rsidTr="00FD55A8">
        <w:trPr>
          <w:trHeight w:val="315"/>
          <w:jc w:val="center"/>
        </w:trPr>
        <w:tc>
          <w:tcPr>
            <w:tcW w:w="1780" w:type="dxa"/>
            <w:tcBorders>
              <w:top w:val="nil"/>
              <w:left w:val="single" w:sz="8" w:space="0" w:color="auto"/>
              <w:bottom w:val="nil"/>
              <w:right w:val="single" w:sz="4" w:space="0" w:color="auto"/>
            </w:tcBorders>
            <w:shd w:val="clear" w:color="auto" w:fill="auto"/>
            <w:noWrap/>
            <w:vAlign w:val="bottom"/>
            <w:hideMark/>
          </w:tcPr>
          <w:p w14:paraId="54743355" w14:textId="77777777" w:rsidR="00556255" w:rsidRPr="00556255" w:rsidRDefault="00556255" w:rsidP="00556255">
            <w:pPr>
              <w:spacing w:line="240" w:lineRule="auto"/>
              <w:jc w:val="left"/>
              <w:rPr>
                <w:rFonts w:ascii="Calibri" w:hAnsi="Calibri" w:cs="Calibri"/>
                <w:color w:val="000000"/>
                <w:sz w:val="22"/>
                <w:szCs w:val="22"/>
              </w:rPr>
            </w:pPr>
            <w:r w:rsidRPr="00556255">
              <w:rPr>
                <w:rFonts w:ascii="Calibri" w:hAnsi="Calibri" w:cs="Calibri"/>
                <w:color w:val="000000"/>
                <w:sz w:val="22"/>
                <w:szCs w:val="22"/>
              </w:rPr>
              <w:t>Battery</w:t>
            </w:r>
          </w:p>
        </w:tc>
        <w:tc>
          <w:tcPr>
            <w:tcW w:w="1180" w:type="dxa"/>
            <w:tcBorders>
              <w:top w:val="nil"/>
              <w:left w:val="nil"/>
              <w:bottom w:val="nil"/>
              <w:right w:val="single" w:sz="8" w:space="0" w:color="auto"/>
            </w:tcBorders>
            <w:shd w:val="clear" w:color="auto" w:fill="auto"/>
            <w:noWrap/>
            <w:vAlign w:val="bottom"/>
            <w:hideMark/>
          </w:tcPr>
          <w:p w14:paraId="08E2261D" w14:textId="77777777" w:rsidR="00556255" w:rsidRPr="00556255" w:rsidRDefault="00556255" w:rsidP="00556255">
            <w:pPr>
              <w:spacing w:line="240" w:lineRule="auto"/>
              <w:jc w:val="center"/>
              <w:rPr>
                <w:rFonts w:ascii="Calibri" w:hAnsi="Calibri" w:cs="Calibri"/>
                <w:color w:val="000000"/>
                <w:sz w:val="22"/>
                <w:szCs w:val="22"/>
              </w:rPr>
            </w:pPr>
            <w:r w:rsidRPr="00556255">
              <w:rPr>
                <w:rFonts w:ascii="Calibri" w:hAnsi="Calibri" w:cs="Calibri"/>
                <w:color w:val="000000"/>
                <w:sz w:val="22"/>
                <w:szCs w:val="22"/>
              </w:rPr>
              <w:t>5.0</w:t>
            </w:r>
          </w:p>
        </w:tc>
      </w:tr>
      <w:tr w:rsidR="00556255" w:rsidRPr="00556255" w14:paraId="1441D33F" w14:textId="77777777" w:rsidTr="00FD55A8">
        <w:trPr>
          <w:trHeight w:val="315"/>
          <w:jc w:val="center"/>
        </w:trPr>
        <w:tc>
          <w:tcPr>
            <w:tcW w:w="178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42650E19" w14:textId="77777777" w:rsidR="00556255" w:rsidRPr="00556255" w:rsidRDefault="00556255" w:rsidP="00556255">
            <w:pPr>
              <w:spacing w:line="240" w:lineRule="auto"/>
              <w:jc w:val="left"/>
              <w:rPr>
                <w:rFonts w:ascii="Calibri" w:hAnsi="Calibri" w:cs="Calibri"/>
                <w:b/>
                <w:bCs/>
                <w:color w:val="000000"/>
                <w:sz w:val="22"/>
                <w:szCs w:val="22"/>
              </w:rPr>
            </w:pPr>
            <w:r w:rsidRPr="00556255">
              <w:rPr>
                <w:rFonts w:ascii="Calibri" w:hAnsi="Calibri" w:cs="Calibri"/>
                <w:b/>
                <w:bCs/>
                <w:color w:val="000000"/>
                <w:sz w:val="22"/>
                <w:szCs w:val="22"/>
              </w:rPr>
              <w:t>Total System</w:t>
            </w:r>
          </w:p>
        </w:tc>
        <w:tc>
          <w:tcPr>
            <w:tcW w:w="1180" w:type="dxa"/>
            <w:tcBorders>
              <w:top w:val="single" w:sz="8" w:space="0" w:color="auto"/>
              <w:left w:val="nil"/>
              <w:bottom w:val="single" w:sz="8" w:space="0" w:color="auto"/>
              <w:right w:val="single" w:sz="8" w:space="0" w:color="auto"/>
            </w:tcBorders>
            <w:shd w:val="clear" w:color="auto" w:fill="auto"/>
            <w:noWrap/>
            <w:vAlign w:val="bottom"/>
            <w:hideMark/>
          </w:tcPr>
          <w:p w14:paraId="39DAA6E8" w14:textId="77777777" w:rsidR="00556255" w:rsidRPr="00556255" w:rsidRDefault="00556255" w:rsidP="00556255">
            <w:pPr>
              <w:spacing w:line="240" w:lineRule="auto"/>
              <w:jc w:val="center"/>
              <w:rPr>
                <w:rFonts w:ascii="Calibri" w:hAnsi="Calibri" w:cs="Calibri"/>
                <w:b/>
                <w:bCs/>
                <w:color w:val="000000"/>
                <w:sz w:val="22"/>
                <w:szCs w:val="22"/>
              </w:rPr>
            </w:pPr>
            <w:r w:rsidRPr="00556255">
              <w:rPr>
                <w:rFonts w:ascii="Calibri" w:hAnsi="Calibri" w:cs="Calibri"/>
                <w:b/>
                <w:bCs/>
                <w:color w:val="000000"/>
                <w:sz w:val="22"/>
                <w:szCs w:val="22"/>
              </w:rPr>
              <w:t>2.5</w:t>
            </w:r>
          </w:p>
        </w:tc>
      </w:tr>
    </w:tbl>
    <w:p w14:paraId="0A913C3D" w14:textId="77777777" w:rsidR="00922AC9" w:rsidRDefault="00922AC9" w:rsidP="00922AC9">
      <w:pPr>
        <w:rPr>
          <w:szCs w:val="24"/>
        </w:rPr>
      </w:pPr>
    </w:p>
    <w:p w14:paraId="00C0B3AD" w14:textId="77777777" w:rsidR="00545898" w:rsidRDefault="00545898" w:rsidP="00922AC9">
      <w:pPr>
        <w:rPr>
          <w:szCs w:val="24"/>
        </w:rPr>
      </w:pPr>
    </w:p>
    <w:p w14:paraId="7BB99A35" w14:textId="16099FE3" w:rsidR="00545898" w:rsidRDefault="00545898" w:rsidP="00545898">
      <w:pPr>
        <w:rPr>
          <w:szCs w:val="24"/>
        </w:rPr>
      </w:pPr>
      <w:r w:rsidRPr="00372AC4">
        <w:rPr>
          <w:szCs w:val="24"/>
        </w:rPr>
        <w:t xml:space="preserve">The </w:t>
      </w:r>
      <w:r>
        <w:rPr>
          <w:szCs w:val="24"/>
        </w:rPr>
        <w:t xml:space="preserve">SERVM </w:t>
      </w:r>
      <w:r w:rsidRPr="00372AC4">
        <w:rPr>
          <w:szCs w:val="24"/>
        </w:rPr>
        <w:t xml:space="preserve">simulation randomly selects failure events and operating events for each unit. </w:t>
      </w:r>
      <w:r>
        <w:rPr>
          <w:szCs w:val="24"/>
        </w:rPr>
        <w:t>For e</w:t>
      </w:r>
      <w:r w:rsidRPr="00372AC4">
        <w:rPr>
          <w:szCs w:val="24"/>
        </w:rPr>
        <w:t>very hour</w:t>
      </w:r>
      <w:r w:rsidR="00BD090B">
        <w:rPr>
          <w:szCs w:val="24"/>
        </w:rPr>
        <w:t>,</w:t>
      </w:r>
      <w:r w:rsidRPr="00372AC4">
        <w:rPr>
          <w:szCs w:val="24"/>
        </w:rPr>
        <w:t xml:space="preserve"> certain units will be </w:t>
      </w:r>
      <w:r w:rsidR="001B14E7" w:rsidRPr="00372AC4">
        <w:rPr>
          <w:szCs w:val="24"/>
        </w:rPr>
        <w:t>operating,</w:t>
      </w:r>
      <w:r w:rsidRPr="00372AC4">
        <w:rPr>
          <w:szCs w:val="24"/>
        </w:rPr>
        <w:t xml:space="preserve"> and other units will be in a failure state. To ensure the model predicts these events accurately, </w:t>
      </w:r>
      <w:r w:rsidR="00307AC0">
        <w:rPr>
          <w:szCs w:val="24"/>
        </w:rPr>
        <w:t>benchmarking was performed between simulated and actual outage probability</w:t>
      </w:r>
      <w:r w:rsidRPr="00372AC4">
        <w:rPr>
          <w:szCs w:val="24"/>
        </w:rPr>
        <w:t xml:space="preserve">. </w:t>
      </w:r>
      <w:r>
        <w:rPr>
          <w:szCs w:val="24"/>
        </w:rPr>
        <w:t xml:space="preserve">This comparison, shown in </w:t>
      </w:r>
      <w:r w:rsidR="008B473E">
        <w:rPr>
          <w:szCs w:val="24"/>
        </w:rPr>
        <w:fldChar w:fldCharType="begin"/>
      </w:r>
      <w:r w:rsidR="008B473E">
        <w:rPr>
          <w:szCs w:val="24"/>
        </w:rPr>
        <w:instrText xml:space="preserve"> REF _Ref513785129 \h </w:instrText>
      </w:r>
      <w:r w:rsidR="008B473E">
        <w:rPr>
          <w:szCs w:val="24"/>
        </w:rPr>
      </w:r>
      <w:r w:rsidR="008B473E">
        <w:rPr>
          <w:szCs w:val="24"/>
        </w:rPr>
        <w:fldChar w:fldCharType="separate"/>
      </w:r>
      <w:r w:rsidR="00161C58">
        <w:t xml:space="preserve">Figure </w:t>
      </w:r>
      <w:r w:rsidR="00161C58">
        <w:rPr>
          <w:noProof/>
        </w:rPr>
        <w:t>I</w:t>
      </w:r>
      <w:r w:rsidR="00161C58">
        <w:t>.</w:t>
      </w:r>
      <w:r w:rsidR="00161C58">
        <w:rPr>
          <w:noProof/>
        </w:rPr>
        <w:t>8</w:t>
      </w:r>
      <w:r w:rsidR="008B473E">
        <w:rPr>
          <w:szCs w:val="24"/>
        </w:rPr>
        <w:fldChar w:fldCharType="end"/>
      </w:r>
      <w:r w:rsidR="00895F7D">
        <w:rPr>
          <w:szCs w:val="24"/>
        </w:rPr>
        <w:t xml:space="preserve"> below</w:t>
      </w:r>
      <w:r>
        <w:rPr>
          <w:szCs w:val="24"/>
        </w:rPr>
        <w:t>, confirms</w:t>
      </w:r>
      <w:r w:rsidRPr="00421157">
        <w:rPr>
          <w:szCs w:val="24"/>
        </w:rPr>
        <w:t xml:space="preserve"> that </w:t>
      </w:r>
      <w:r>
        <w:rPr>
          <w:szCs w:val="24"/>
        </w:rPr>
        <w:t xml:space="preserve">the modeled outage rate is consistent with the historical outage rate and </w:t>
      </w:r>
      <w:r w:rsidRPr="00372AC4">
        <w:rPr>
          <w:szCs w:val="24"/>
        </w:rPr>
        <w:t>indicates that the impact of outage events is adequately modeled</w:t>
      </w:r>
      <w:r w:rsidRPr="00C627E2">
        <w:rPr>
          <w:szCs w:val="24"/>
        </w:rPr>
        <w:t>.</w:t>
      </w:r>
    </w:p>
    <w:p w14:paraId="1A5DE376" w14:textId="77777777" w:rsidR="0053151C" w:rsidRDefault="0053151C" w:rsidP="0053151C">
      <w:pPr>
        <w:spacing w:line="240" w:lineRule="auto"/>
        <w:jc w:val="left"/>
        <w:rPr>
          <w:b/>
          <w:szCs w:val="24"/>
        </w:rPr>
      </w:pPr>
    </w:p>
    <w:p w14:paraId="1EEBDCCB" w14:textId="286BAAF7" w:rsidR="0053151C" w:rsidRDefault="00244ABE" w:rsidP="00A35683">
      <w:pPr>
        <w:keepNext/>
        <w:jc w:val="left"/>
      </w:pPr>
      <w:r>
        <w:rPr>
          <w:noProof/>
        </w:rPr>
        <w:drawing>
          <wp:inline distT="0" distB="0" distL="0" distR="0" wp14:anchorId="0CB2BCBB" wp14:editId="43F148BE">
            <wp:extent cx="5902960" cy="4281039"/>
            <wp:effectExtent l="0" t="0" r="2540" b="5715"/>
            <wp:docPr id="55887619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13500" cy="4288683"/>
                    </a:xfrm>
                    <a:prstGeom prst="rect">
                      <a:avLst/>
                    </a:prstGeom>
                    <a:noFill/>
                  </pic:spPr>
                </pic:pic>
              </a:graphicData>
            </a:graphic>
          </wp:inline>
        </w:drawing>
      </w:r>
    </w:p>
    <w:p w14:paraId="598210B1" w14:textId="351A2DF5" w:rsidR="00545898" w:rsidRPr="00F81B2B" w:rsidRDefault="0053151C" w:rsidP="0053151C">
      <w:pPr>
        <w:pStyle w:val="Caption"/>
      </w:pPr>
      <w:bookmarkStart w:id="124" w:name="_Ref513785129"/>
      <w:bookmarkStart w:id="125" w:name="_Toc513710585"/>
      <w:bookmarkStart w:id="126" w:name="_Toc187234668"/>
      <w:r>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8</w:t>
      </w:r>
      <w:r w:rsidR="00F262E6">
        <w:fldChar w:fldCharType="end"/>
      </w:r>
      <w:bookmarkEnd w:id="124"/>
      <w:r>
        <w:t xml:space="preserve">. </w:t>
      </w:r>
      <w:r w:rsidR="001B14E7">
        <w:t xml:space="preserve">Modeled vs Actual </w:t>
      </w:r>
      <w:r>
        <w:t>Unplanned Outage Probability</w:t>
      </w:r>
      <w:bookmarkEnd w:id="125"/>
      <w:bookmarkEnd w:id="126"/>
    </w:p>
    <w:p w14:paraId="6DC731F0" w14:textId="77777777" w:rsidR="004B49A6" w:rsidRPr="00DB103F" w:rsidRDefault="004B49A6" w:rsidP="00DB103F">
      <w:bookmarkStart w:id="127" w:name="_Toc342046417"/>
      <w:bookmarkStart w:id="128" w:name="_Toc342047704"/>
      <w:bookmarkStart w:id="129" w:name="_Toc342381991"/>
      <w:bookmarkStart w:id="130" w:name="_Toc342047001"/>
      <w:bookmarkStart w:id="131" w:name="_Toc342048288"/>
      <w:bookmarkStart w:id="132" w:name="_Toc342382575"/>
      <w:bookmarkStart w:id="133" w:name="_Toc342047002"/>
      <w:bookmarkStart w:id="134" w:name="_Toc342048289"/>
      <w:bookmarkStart w:id="135" w:name="_Toc342382576"/>
      <w:bookmarkStart w:id="136" w:name="_Toc440257855"/>
      <w:bookmarkStart w:id="137" w:name="_Toc440260737"/>
      <w:bookmarkStart w:id="138" w:name="_Toc440262201"/>
      <w:bookmarkEnd w:id="127"/>
      <w:bookmarkEnd w:id="128"/>
      <w:bookmarkEnd w:id="129"/>
      <w:bookmarkEnd w:id="130"/>
      <w:bookmarkEnd w:id="131"/>
      <w:bookmarkEnd w:id="132"/>
      <w:bookmarkEnd w:id="133"/>
      <w:bookmarkEnd w:id="134"/>
      <w:bookmarkEnd w:id="135"/>
      <w:bookmarkEnd w:id="136"/>
      <w:bookmarkEnd w:id="137"/>
      <w:bookmarkEnd w:id="138"/>
    </w:p>
    <w:p w14:paraId="0DD3A3A6" w14:textId="77777777" w:rsidR="004B49A6" w:rsidRPr="00421157" w:rsidRDefault="004B49A6" w:rsidP="00C56A27">
      <w:pPr>
        <w:pStyle w:val="Heading2"/>
        <w:numPr>
          <w:ilvl w:val="1"/>
          <w:numId w:val="13"/>
        </w:numPr>
        <w:ind w:left="360"/>
      </w:pPr>
      <w:bookmarkStart w:id="139" w:name="_Toc440257856"/>
      <w:bookmarkStart w:id="140" w:name="_Toc440260738"/>
      <w:bookmarkStart w:id="141" w:name="_Toc440262202"/>
      <w:bookmarkStart w:id="142" w:name="_Toc440447807"/>
      <w:bookmarkStart w:id="143" w:name="_Toc440447874"/>
      <w:bookmarkStart w:id="144" w:name="_Toc440457923"/>
      <w:bookmarkStart w:id="145" w:name="_Toc440458337"/>
      <w:bookmarkStart w:id="146" w:name="_Toc440257857"/>
      <w:bookmarkStart w:id="147" w:name="_Toc440260739"/>
      <w:bookmarkStart w:id="148" w:name="_Toc440262203"/>
      <w:bookmarkStart w:id="149" w:name="_Toc440447808"/>
      <w:bookmarkStart w:id="150" w:name="_Toc440447875"/>
      <w:bookmarkStart w:id="151" w:name="_Toc440457924"/>
      <w:bookmarkStart w:id="152" w:name="_Toc440458338"/>
      <w:bookmarkStart w:id="153" w:name="_Incremental_Cold_Weather"/>
      <w:bookmarkStart w:id="154" w:name="_Toc513710334"/>
      <w:bookmarkStart w:id="155" w:name="_Ref174105102"/>
      <w:bookmarkStart w:id="156" w:name="_Toc187234595"/>
      <w:bookmarkStart w:id="157" w:name="_Toc440262204"/>
      <w:bookmarkStart w:id="158" w:name="_Toc440447876"/>
      <w:bookmarkStart w:id="159" w:name="_Toc440457925"/>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r>
        <w:t>Incremental Cold Weather Outages</w:t>
      </w:r>
      <w:bookmarkEnd w:id="154"/>
      <w:bookmarkEnd w:id="155"/>
      <w:bookmarkEnd w:id="156"/>
    </w:p>
    <w:p w14:paraId="1D8FC47C" w14:textId="334E8C46" w:rsidR="004C6CB2" w:rsidRDefault="6CEADD87" w:rsidP="00F77FF1">
      <w:r w:rsidRPr="3B44DD63">
        <w:t xml:space="preserve">The discussion of outage data in the previous sections describes the </w:t>
      </w:r>
      <w:r w:rsidR="6A3AEF81">
        <w:rPr>
          <w:szCs w:val="24"/>
        </w:rPr>
        <w:t>“</w:t>
      </w:r>
      <w:r w:rsidRPr="3B44DD63">
        <w:t>base</w:t>
      </w:r>
      <w:r w:rsidR="6A3AEF81">
        <w:rPr>
          <w:szCs w:val="24"/>
        </w:rPr>
        <w:t>”</w:t>
      </w:r>
      <w:r w:rsidRPr="3B44DD63">
        <w:t xml:space="preserve"> level of outage</w:t>
      </w:r>
      <w:r w:rsidR="76E300F1" w:rsidRPr="3B44DD63">
        <w:t>s</w:t>
      </w:r>
      <w:r w:rsidRPr="3B44DD63">
        <w:t xml:space="preserve"> expected across the year. However, history has demonstrated that under extremely cold conditions, outage rates can increase as coal piles and pipes begin to freeze</w:t>
      </w:r>
      <w:r w:rsidR="101EFBBC">
        <w:rPr>
          <w:szCs w:val="24"/>
        </w:rPr>
        <w:t xml:space="preserve">, </w:t>
      </w:r>
      <w:r w:rsidRPr="3B44DD63">
        <w:t xml:space="preserve">as oil thickens to the point that it will not flow sufficiently to operate </w:t>
      </w:r>
      <w:r w:rsidR="1EA043B3" w:rsidRPr="3B44DD63">
        <w:t xml:space="preserve">a </w:t>
      </w:r>
      <w:r w:rsidRPr="3B44DD63">
        <w:t>facility</w:t>
      </w:r>
      <w:r w:rsidR="101EFBBC" w:rsidRPr="3B44DD63">
        <w:t>, or as instrumentation</w:t>
      </w:r>
      <w:r w:rsidR="3817A2E9">
        <w:rPr>
          <w:szCs w:val="24"/>
        </w:rPr>
        <w:t>,</w:t>
      </w:r>
      <w:r w:rsidR="101EFBBC" w:rsidRPr="3B44DD63">
        <w:t xml:space="preserve"> controls</w:t>
      </w:r>
      <w:r w:rsidR="3817A2E9">
        <w:rPr>
          <w:szCs w:val="24"/>
        </w:rPr>
        <w:t>,</w:t>
      </w:r>
      <w:r w:rsidR="101EFBBC" w:rsidRPr="3B44DD63">
        <w:t xml:space="preserve"> or other plant equipment begin</w:t>
      </w:r>
      <w:r w:rsidR="3817A2E9" w:rsidRPr="3B44DD63">
        <w:t>s</w:t>
      </w:r>
      <w:r w:rsidR="101EFBBC" w:rsidRPr="3B44DD63">
        <w:t xml:space="preserve"> to freeze</w:t>
      </w:r>
      <w:r>
        <w:rPr>
          <w:szCs w:val="24"/>
        </w:rPr>
        <w:t xml:space="preserve">. </w:t>
      </w:r>
      <w:r w:rsidR="128F9864" w:rsidRPr="3B44DD63">
        <w:t>Although uncommon, w</w:t>
      </w:r>
      <w:r w:rsidRPr="3B44DD63">
        <w:t xml:space="preserve">hen </w:t>
      </w:r>
      <w:r w:rsidR="128F9864" w:rsidRPr="3B44DD63">
        <w:t xml:space="preserve">extreme weather conditions do </w:t>
      </w:r>
      <w:r w:rsidRPr="3B44DD63">
        <w:t>occur</w:t>
      </w:r>
      <w:r w:rsidR="3817A2E9">
        <w:rPr>
          <w:szCs w:val="24"/>
        </w:rPr>
        <w:t>,</w:t>
      </w:r>
      <w:r w:rsidR="128F9864">
        <w:rPr>
          <w:szCs w:val="24"/>
        </w:rPr>
        <w:t xml:space="preserve"> </w:t>
      </w:r>
      <w:r w:rsidRPr="3B44DD63">
        <w:t>the</w:t>
      </w:r>
      <w:r w:rsidR="128F9864" w:rsidRPr="3B44DD63">
        <w:t xml:space="preserve"> related</w:t>
      </w:r>
      <w:r w:rsidRPr="3B44DD63">
        <w:t xml:space="preserve"> outage impacts can be significant and </w:t>
      </w:r>
      <w:r w:rsidR="128F9864" w:rsidRPr="3B44DD63">
        <w:t>i</w:t>
      </w:r>
      <w:r w:rsidRPr="3B44DD63">
        <w:t xml:space="preserve">ncrease </w:t>
      </w:r>
      <w:r w:rsidR="128F9864" w:rsidRPr="3B44DD63">
        <w:t>with decreasing temperature</w:t>
      </w:r>
      <w:r w:rsidRPr="3B44DD63">
        <w:t>. Historically, these incremental outages have materialized at system weighted temperatures</w:t>
      </w:r>
      <w:r w:rsidR="09E7C213" w:rsidRPr="3B44DD63">
        <w:t xml:space="preserve"> of</w:t>
      </w:r>
      <w:r w:rsidRPr="3B44DD63">
        <w:t xml:space="preserve"> roughly 17</w:t>
      </w:r>
      <w:r w:rsidR="42755D8B" w:rsidRPr="3B44DD63">
        <w:rPr>
          <w:rFonts w:cs="Arial"/>
        </w:rPr>
        <w:t>°</w:t>
      </w:r>
      <w:r w:rsidRPr="3B44DD63">
        <w:t xml:space="preserve">F and below. However, </w:t>
      </w:r>
      <w:r w:rsidR="3DCCF11E" w:rsidRPr="3B44DD63">
        <w:t>the Company has undertaken effor</w:t>
      </w:r>
      <w:r w:rsidRPr="3B44DD63">
        <w:t>ts to m</w:t>
      </w:r>
      <w:r w:rsidR="3817A2E9" w:rsidRPr="3B44DD63">
        <w:t>itigate</w:t>
      </w:r>
      <w:r>
        <w:rPr>
          <w:szCs w:val="24"/>
        </w:rPr>
        <w:t xml:space="preserve"> </w:t>
      </w:r>
      <w:r w:rsidR="3DCCF11E" w:rsidRPr="3B44DD63">
        <w:t>cold weather outages</w:t>
      </w:r>
      <w:r w:rsidR="0B829ADC">
        <w:rPr>
          <w:szCs w:val="24"/>
        </w:rPr>
        <w:t>.</w:t>
      </w:r>
      <w:r w:rsidRPr="3B44DD63">
        <w:t xml:space="preserve"> Based on these efforts, it is expected that these incremental outages will not begin to materialize until</w:t>
      </w:r>
      <w:r w:rsidR="3C7D8F3A" w:rsidRPr="3B44DD63">
        <w:t xml:space="preserve"> the </w:t>
      </w:r>
      <w:r w:rsidR="6D94C659">
        <w:t xml:space="preserve">local </w:t>
      </w:r>
      <w:r w:rsidR="3C7D8F3A" w:rsidRPr="3B44DD63">
        <w:t>temperature</w:t>
      </w:r>
      <w:r w:rsidDel="3C7D8F3A">
        <w:t>s</w:t>
      </w:r>
      <w:r w:rsidR="3C7D8F3A" w:rsidRPr="3B44DD63">
        <w:t xml:space="preserve"> </w:t>
      </w:r>
      <w:r w:rsidDel="3C7D8F3A">
        <w:t>reach</w:t>
      </w:r>
      <w:r w:rsidR="002B7DAE">
        <w:t xml:space="preserve"> </w:t>
      </w:r>
      <w:r w:rsidRPr="3B44DD63">
        <w:t>approximately 1</w:t>
      </w:r>
      <w:r w:rsidR="3C7D8F3A" w:rsidRPr="3B44DD63">
        <w:t>0</w:t>
      </w:r>
      <w:r w:rsidR="42755D8B" w:rsidRPr="3B44DD63">
        <w:rPr>
          <w:rFonts w:cs="Arial"/>
        </w:rPr>
        <w:t>°</w:t>
      </w:r>
      <w:r w:rsidRPr="3B44DD63">
        <w:t>F</w:t>
      </w:r>
      <w:r w:rsidR="3C7D8F3A" w:rsidRPr="3B44DD63">
        <w:t xml:space="preserve"> for retail, owned or operated resources and approximately 18°F for contracted resources. However, because the model utilizes a single system</w:t>
      </w:r>
      <w:r w:rsidR="3C7D8F3A">
        <w:t xml:space="preserve"> </w:t>
      </w:r>
      <w:r w:rsidR="131C0DDB">
        <w:t>weighted</w:t>
      </w:r>
      <w:r w:rsidR="4E482D9A" w:rsidRPr="3B44DD63">
        <w:t xml:space="preserve"> </w:t>
      </w:r>
      <w:r w:rsidR="3C7D8F3A" w:rsidRPr="3B44DD63">
        <w:t>temperature to determine</w:t>
      </w:r>
      <w:r w:rsidR="224D7A14" w:rsidRPr="3B44DD63">
        <w:t xml:space="preserve"> total</w:t>
      </w:r>
      <w:r w:rsidR="3C7D8F3A" w:rsidRPr="3B44DD63">
        <w:t xml:space="preserve"> incremental cold weather outages, a by-unit geographic adjustment </w:t>
      </w:r>
      <w:r w:rsidR="128F9864" w:rsidRPr="3B44DD63">
        <w:t>is</w:t>
      </w:r>
      <w:r w:rsidR="09E7C213" w:rsidRPr="3B44DD63">
        <w:t xml:space="preserve"> </w:t>
      </w:r>
      <w:r w:rsidR="224D7A14" w:rsidRPr="3B44DD63">
        <w:t>applied. This adjustment</w:t>
      </w:r>
      <w:r w:rsidR="3C7D8F3A" w:rsidRPr="3B44DD63">
        <w:t xml:space="preserve"> account</w:t>
      </w:r>
      <w:r w:rsidR="224D7A14" w:rsidRPr="3B44DD63">
        <w:t>s</w:t>
      </w:r>
      <w:r w:rsidR="3C7D8F3A" w:rsidRPr="3B44DD63">
        <w:t xml:space="preserve"> for </w:t>
      </w:r>
      <w:r w:rsidR="224D7A14" w:rsidRPr="3B44DD63">
        <w:t>locations that do not typically experience the exact same temperatures as the system weighted average</w:t>
      </w:r>
      <w:r w:rsidR="3C7D8F3A" w:rsidRPr="3B44DD63">
        <w:t xml:space="preserve">. For example, </w:t>
      </w:r>
      <w:r w:rsidR="006B0AB3">
        <w:t>during cold weather events</w:t>
      </w:r>
      <w:r w:rsidR="3C7D8F3A" w:rsidRPr="3B44DD63">
        <w:t xml:space="preserve">, </w:t>
      </w:r>
      <w:r w:rsidR="224D7A14" w:rsidRPr="3B44DD63">
        <w:t>resources</w:t>
      </w:r>
      <w:r w:rsidR="3C7D8F3A" w:rsidRPr="3B44DD63">
        <w:t xml:space="preserve"> </w:t>
      </w:r>
      <w:r w:rsidR="00DF28A4">
        <w:t xml:space="preserve">in </w:t>
      </w:r>
      <w:r w:rsidR="3C7D8F3A" w:rsidRPr="3B44DD63">
        <w:t>north</w:t>
      </w:r>
      <w:r w:rsidR="004F0F43">
        <w:t>ern</w:t>
      </w:r>
      <w:r w:rsidR="3C7D8F3A" w:rsidRPr="3B44DD63">
        <w:t xml:space="preserve"> </w:t>
      </w:r>
      <w:r w:rsidR="004F0F43">
        <w:t>portions of the service territory</w:t>
      </w:r>
      <w:r w:rsidR="3C7D8F3A" w:rsidRPr="3B44DD63">
        <w:t xml:space="preserve"> </w:t>
      </w:r>
      <w:r w:rsidR="5C4BC3A9">
        <w:t xml:space="preserve">may </w:t>
      </w:r>
      <w:r w:rsidR="224D7A14" w:rsidRPr="3B44DD63">
        <w:t>experience</w:t>
      </w:r>
      <w:r w:rsidR="3C7D8F3A" w:rsidRPr="3B44DD63">
        <w:t xml:space="preserve"> an average temperature</w:t>
      </w:r>
      <w:r w:rsidR="224D7A14" w:rsidRPr="3B44DD63">
        <w:t xml:space="preserve"> that is </w:t>
      </w:r>
      <w:r w:rsidR="3C7D8F3A" w:rsidRPr="3B44DD63">
        <w:t xml:space="preserve">3°F cooler </w:t>
      </w:r>
      <w:r w:rsidR="56F6B9AF">
        <w:t>while</w:t>
      </w:r>
      <w:r w:rsidR="3C7D8F3A" w:rsidRPr="3B44DD63">
        <w:t xml:space="preserve"> </w:t>
      </w:r>
      <w:r w:rsidR="224D7A14" w:rsidRPr="3B44DD63">
        <w:t>resources</w:t>
      </w:r>
      <w:r w:rsidR="3C7D8F3A" w:rsidRPr="3B44DD63">
        <w:t xml:space="preserve"> near </w:t>
      </w:r>
      <w:r w:rsidR="00925750">
        <w:t xml:space="preserve">the Gulf Coast </w:t>
      </w:r>
      <w:r w:rsidR="224D7A14" w:rsidRPr="3B44DD63">
        <w:t>experience</w:t>
      </w:r>
      <w:r w:rsidR="3C7D8F3A" w:rsidRPr="3B44DD63">
        <w:t xml:space="preserve"> an average temperature</w:t>
      </w:r>
      <w:r w:rsidR="224D7A14" w:rsidRPr="3B44DD63">
        <w:t xml:space="preserve"> that is</w:t>
      </w:r>
      <w:r w:rsidR="3C7D8F3A" w:rsidRPr="3B44DD63">
        <w:t xml:space="preserve"> 5°F warmer.</w:t>
      </w:r>
      <w:r w:rsidR="224D7A14" w:rsidRPr="3B44DD63">
        <w:t xml:space="preserve"> Resources at both locations may be winterized down to a local temperature of 10°F but those resources </w:t>
      </w:r>
      <w:r w:rsidR="001A2A29">
        <w:t xml:space="preserve">in the </w:t>
      </w:r>
      <w:r w:rsidR="224D7A14" w:rsidRPr="3B44DD63">
        <w:t xml:space="preserve">north might </w:t>
      </w:r>
      <w:r w:rsidR="002E2520">
        <w:t xml:space="preserve">begin </w:t>
      </w:r>
      <w:r w:rsidR="224D7A14" w:rsidRPr="3B44DD63">
        <w:t>experienc</w:t>
      </w:r>
      <w:r w:rsidR="002E2520">
        <w:t>ing</w:t>
      </w:r>
      <w:r w:rsidR="224D7A14" w:rsidRPr="3B44DD63">
        <w:t xml:space="preserve"> cold weather impacts when the system weighted temperature reaches 13°F</w:t>
      </w:r>
      <w:r w:rsidR="64C1292F" w:rsidRPr="3B44DD63">
        <w:t xml:space="preserve"> (10°F local)</w:t>
      </w:r>
      <w:r w:rsidR="224D7A14" w:rsidRPr="3B44DD63">
        <w:t xml:space="preserve">. Conversely, resources near </w:t>
      </w:r>
      <w:r w:rsidR="001A2A29">
        <w:t xml:space="preserve">the Gulf Coast </w:t>
      </w:r>
      <w:r w:rsidR="224D7A14" w:rsidRPr="3B44DD63">
        <w:t xml:space="preserve">might not </w:t>
      </w:r>
      <w:r w:rsidR="00B955D0">
        <w:t xml:space="preserve">begin to </w:t>
      </w:r>
      <w:r w:rsidR="224D7A14" w:rsidRPr="3B44DD63">
        <w:t>experience cold weather impacts until the system weighted temperature reaches 5°F</w:t>
      </w:r>
      <w:r w:rsidR="64C1292F" w:rsidRPr="3B44DD63">
        <w:t xml:space="preserve"> (also 10°F local)</w:t>
      </w:r>
      <w:r w:rsidR="224D7A14">
        <w:rPr>
          <w:szCs w:val="24"/>
        </w:rPr>
        <w:t>.</w:t>
      </w:r>
      <w:r w:rsidR="17BC86FD">
        <w:rPr>
          <w:szCs w:val="24"/>
        </w:rPr>
        <w:t xml:space="preserve"> </w:t>
      </w:r>
      <w:r w:rsidR="008B473E">
        <w:rPr>
          <w:szCs w:val="24"/>
        </w:rPr>
        <w:fldChar w:fldCharType="begin"/>
      </w:r>
      <w:r w:rsidR="008B473E">
        <w:rPr>
          <w:szCs w:val="24"/>
        </w:rPr>
        <w:instrText xml:space="preserve"> REF _Ref513785739 \h </w:instrText>
      </w:r>
      <w:r w:rsidR="008B473E">
        <w:rPr>
          <w:szCs w:val="24"/>
        </w:rPr>
      </w:r>
      <w:r w:rsidR="008B473E">
        <w:rPr>
          <w:szCs w:val="24"/>
        </w:rPr>
        <w:fldChar w:fldCharType="separate"/>
      </w:r>
      <w:r w:rsidR="6B5465E1">
        <w:t xml:space="preserve">Figure </w:t>
      </w:r>
      <w:r w:rsidR="6B5465E1">
        <w:rPr>
          <w:noProof/>
        </w:rPr>
        <w:t>I</w:t>
      </w:r>
      <w:r w:rsidR="6B5465E1">
        <w:t>.</w:t>
      </w:r>
      <w:r w:rsidR="6B5465E1">
        <w:rPr>
          <w:noProof/>
        </w:rPr>
        <w:t>9</w:t>
      </w:r>
      <w:r w:rsidR="008B473E">
        <w:rPr>
          <w:szCs w:val="24"/>
        </w:rPr>
        <w:fldChar w:fldCharType="end"/>
      </w:r>
      <w:r w:rsidR="51444BE3" w:rsidRPr="3B44DD63">
        <w:t xml:space="preserve"> shows (a) </w:t>
      </w:r>
      <w:r w:rsidR="41208B41" w:rsidRPr="3B44DD63">
        <w:t>a trend of historical unit outages directly attributed to cold weather conditions</w:t>
      </w:r>
      <w:r w:rsidR="3817A2E9">
        <w:rPr>
          <w:szCs w:val="24"/>
        </w:rPr>
        <w:t>,</w:t>
      </w:r>
      <w:r w:rsidR="41208B41" w:rsidRPr="3B44DD63">
        <w:t xml:space="preserve"> and (b) a trend representing the assumptions used in this study that includes expected performance improvements</w:t>
      </w:r>
      <w:r w:rsidR="64C1292F" w:rsidRPr="3B44DD63">
        <w:t>, geographic adjustments, and the impacts of time-to-repair constraints</w:t>
      </w:r>
      <w:r w:rsidR="00582244" w:rsidRPr="3B44DD63">
        <w:rPr>
          <w:rStyle w:val="FootnoteReference"/>
        </w:rPr>
        <w:footnoteReference w:id="11"/>
      </w:r>
      <w:r w:rsidR="64C1292F">
        <w:rPr>
          <w:szCs w:val="24"/>
        </w:rPr>
        <w:t xml:space="preserve">. </w:t>
      </w:r>
    </w:p>
    <w:p w14:paraId="56721CBA" w14:textId="77777777" w:rsidR="00BE0646" w:rsidRDefault="00BE0646">
      <w:pPr>
        <w:spacing w:line="240" w:lineRule="auto"/>
        <w:jc w:val="left"/>
        <w:rPr>
          <w:b/>
          <w:szCs w:val="24"/>
        </w:rPr>
      </w:pPr>
    </w:p>
    <w:p w14:paraId="72C4DC7D" w14:textId="60FC421B" w:rsidR="0053151C" w:rsidRDefault="004F5687" w:rsidP="0053151C">
      <w:pPr>
        <w:keepNext/>
      </w:pPr>
      <w:r>
        <w:rPr>
          <w:noProof/>
        </w:rPr>
        <w:drawing>
          <wp:inline distT="0" distB="0" distL="0" distR="0" wp14:anchorId="2F0D016E" wp14:editId="1547A7FB">
            <wp:extent cx="5866765" cy="3232714"/>
            <wp:effectExtent l="0" t="0" r="635" b="6350"/>
            <wp:docPr id="53020460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879055" cy="3239486"/>
                    </a:xfrm>
                    <a:prstGeom prst="rect">
                      <a:avLst/>
                    </a:prstGeom>
                    <a:noFill/>
                  </pic:spPr>
                </pic:pic>
              </a:graphicData>
            </a:graphic>
          </wp:inline>
        </w:drawing>
      </w:r>
    </w:p>
    <w:p w14:paraId="054BAE36" w14:textId="60605140" w:rsidR="004B49A6" w:rsidRDefault="0053151C" w:rsidP="0053151C">
      <w:pPr>
        <w:pStyle w:val="Caption"/>
        <w:jc w:val="both"/>
      </w:pPr>
      <w:bookmarkStart w:id="160" w:name="_Ref513785739"/>
      <w:bookmarkStart w:id="161" w:name="_Toc513710586"/>
      <w:bookmarkStart w:id="162" w:name="_Toc187234669"/>
      <w:r>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9</w:t>
      </w:r>
      <w:r w:rsidR="00F262E6">
        <w:fldChar w:fldCharType="end"/>
      </w:r>
      <w:bookmarkEnd w:id="160"/>
      <w:r>
        <w:t>. Cold Weather Outage Assumptions</w:t>
      </w:r>
      <w:bookmarkEnd w:id="161"/>
      <w:bookmarkEnd w:id="162"/>
    </w:p>
    <w:p w14:paraId="54D0A895" w14:textId="77777777" w:rsidR="00DE52D2" w:rsidRDefault="00DE52D2" w:rsidP="00C502A6"/>
    <w:p w14:paraId="2B6BD705" w14:textId="4E46A601" w:rsidR="00C502A6" w:rsidRDefault="00955C5B" w:rsidP="00C502A6">
      <w:r>
        <w:t xml:space="preserve">Beginning with the 2024 Reserve Margin Study, cold weather outage curves were also applied to neighboring regions located outside of Florida. </w:t>
      </w:r>
      <w:r w:rsidR="00A262F8">
        <w:t xml:space="preserve">In </w:t>
      </w:r>
      <w:r w:rsidR="00C90FD6">
        <w:t>coordination</w:t>
      </w:r>
      <w:r w:rsidR="00E15AFB">
        <w:t xml:space="preserve"> </w:t>
      </w:r>
      <w:r w:rsidR="00A262F8">
        <w:t>with</w:t>
      </w:r>
      <w:r w:rsidR="00E15AFB">
        <w:t xml:space="preserve"> our</w:t>
      </w:r>
      <w:r w:rsidR="00A262F8">
        <w:t xml:space="preserve"> external consultant, Astrapé</w:t>
      </w:r>
      <w:r w:rsidR="00D911CB">
        <w:t>,</w:t>
      </w:r>
      <w:r w:rsidR="00A262F8">
        <w:t xml:space="preserve"> unique curves were created for each region</w:t>
      </w:r>
      <w:r w:rsidR="00C90FD6" w:rsidRPr="00C90FD6">
        <w:t xml:space="preserve"> </w:t>
      </w:r>
      <w:r w:rsidR="00C90FD6">
        <w:t>based on publicly available cold weather outage data</w:t>
      </w:r>
      <w:r w:rsidR="00A262F8">
        <w:t>. Astrapé recommended the use of linear curves for these regions. To understand the impacts of using a</w:t>
      </w:r>
      <w:r w:rsidR="00015ACC">
        <w:t>n exponential</w:t>
      </w:r>
      <w:r w:rsidR="00A262F8">
        <w:t xml:space="preserve"> curve within the Southern System</w:t>
      </w:r>
      <w:r w:rsidR="00015ACC">
        <w:t xml:space="preserve"> as was used in previous studies</w:t>
      </w:r>
      <w:r w:rsidR="00A262F8">
        <w:t>, a sensitivity was performed and discussed in Section</w:t>
      </w:r>
      <w:r w:rsidR="00582244">
        <w:t xml:space="preserve"> </w:t>
      </w:r>
      <w:r w:rsidR="007964D2">
        <w:fldChar w:fldCharType="begin"/>
      </w:r>
      <w:r w:rsidR="007964D2">
        <w:instrText xml:space="preserve"> REF _Ref175143890 \r \h </w:instrText>
      </w:r>
      <w:r w:rsidR="007964D2">
        <w:fldChar w:fldCharType="separate"/>
      </w:r>
      <w:r w:rsidR="007964D2">
        <w:t xml:space="preserve">IV.F. </w:t>
      </w:r>
      <w:r w:rsidR="007964D2">
        <w:fldChar w:fldCharType="end"/>
      </w:r>
      <w:r w:rsidR="00A262F8">
        <w:t xml:space="preserve"> </w:t>
      </w:r>
      <w:r w:rsidR="00C26C56" w:rsidRPr="00C26C56">
        <w:fldChar w:fldCharType="begin"/>
      </w:r>
      <w:r w:rsidR="00C26C56" w:rsidRPr="00C26C56">
        <w:instrText xml:space="preserve"> REF _Ref165453238 \h  \* MERGEFORMAT </w:instrText>
      </w:r>
      <w:r w:rsidR="00C26C56" w:rsidRPr="00C26C56">
        <w:fldChar w:fldCharType="separate"/>
      </w:r>
      <w:r w:rsidR="00C26C56" w:rsidRPr="00C26C56">
        <w:t xml:space="preserve">Figure </w:t>
      </w:r>
      <w:r w:rsidR="00C26C56" w:rsidRPr="00C26C56">
        <w:rPr>
          <w:noProof/>
        </w:rPr>
        <w:t>I</w:t>
      </w:r>
      <w:r w:rsidR="00C26C56" w:rsidRPr="00C26C56">
        <w:t>.</w:t>
      </w:r>
      <w:r w:rsidR="00C26C56" w:rsidRPr="00C26C56">
        <w:rPr>
          <w:noProof/>
        </w:rPr>
        <w:t>10</w:t>
      </w:r>
      <w:r w:rsidR="00C26C56" w:rsidRPr="00C26C56">
        <w:fldChar w:fldCharType="end"/>
      </w:r>
      <w:r w:rsidR="00C26C56">
        <w:t xml:space="preserve"> </w:t>
      </w:r>
      <w:r w:rsidR="00A262F8">
        <w:t>shows the incremental cold weather outage EFOR curves applied to each neighboring system</w:t>
      </w:r>
      <w:r w:rsidR="00015ACC">
        <w:t xml:space="preserve"> as well as the final calibrated, linear-based curve used within the Southern System</w:t>
      </w:r>
      <w:r w:rsidR="00A262F8">
        <w:t>.</w:t>
      </w:r>
    </w:p>
    <w:p w14:paraId="1776646F" w14:textId="7AE3E974" w:rsidR="00C26C56" w:rsidRDefault="00C26C56" w:rsidP="00C502A6"/>
    <w:p w14:paraId="01A776B9" w14:textId="0CDB04EE" w:rsidR="00C26C56" w:rsidRDefault="0013041F" w:rsidP="00C502A6">
      <w:r>
        <w:rPr>
          <w:noProof/>
        </w:rPr>
        <w:drawing>
          <wp:inline distT="0" distB="0" distL="0" distR="0" wp14:anchorId="4702F1D1" wp14:editId="7628C62D">
            <wp:extent cx="5953125" cy="3390373"/>
            <wp:effectExtent l="0" t="0" r="0" b="635"/>
            <wp:docPr id="9922482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66542" cy="3398014"/>
                    </a:xfrm>
                    <a:prstGeom prst="rect">
                      <a:avLst/>
                    </a:prstGeom>
                    <a:noFill/>
                  </pic:spPr>
                </pic:pic>
              </a:graphicData>
            </a:graphic>
          </wp:inline>
        </w:drawing>
      </w:r>
    </w:p>
    <w:p w14:paraId="61FDB8D4" w14:textId="038E2165" w:rsidR="00C26C56" w:rsidRDefault="00F262E6" w:rsidP="00F262E6">
      <w:pPr>
        <w:pStyle w:val="Caption"/>
      </w:pPr>
      <w:bookmarkStart w:id="163" w:name="_Toc187234670"/>
      <w:r>
        <w:t xml:space="preserve">Figure </w:t>
      </w:r>
      <w:r>
        <w:fldChar w:fldCharType="begin"/>
      </w:r>
      <w:r>
        <w:instrText xml:space="preserve"> STYLEREF 1 \s </w:instrText>
      </w:r>
      <w:r>
        <w:fldChar w:fldCharType="separate"/>
      </w:r>
      <w:r>
        <w:rPr>
          <w:noProof/>
        </w:rPr>
        <w:t>I</w:t>
      </w:r>
      <w:r>
        <w:fldChar w:fldCharType="end"/>
      </w:r>
      <w:r>
        <w:t>.</w:t>
      </w:r>
      <w:r>
        <w:fldChar w:fldCharType="begin"/>
      </w:r>
      <w:r>
        <w:instrText xml:space="preserve"> SEQ Figure \* ARABIC \s 1 </w:instrText>
      </w:r>
      <w:r>
        <w:fldChar w:fldCharType="separate"/>
      </w:r>
      <w:r>
        <w:rPr>
          <w:noProof/>
        </w:rPr>
        <w:t>10</w:t>
      </w:r>
      <w:r>
        <w:fldChar w:fldCharType="end"/>
      </w:r>
      <w:r>
        <w:t xml:space="preserve"> Cold Weather Outage Assumptions</w:t>
      </w:r>
      <w:bookmarkEnd w:id="163"/>
    </w:p>
    <w:p w14:paraId="3C239662" w14:textId="77777777" w:rsidR="00C26C56" w:rsidRDefault="00C26C56" w:rsidP="00C502A6"/>
    <w:p w14:paraId="26887186" w14:textId="77777777" w:rsidR="0013041F" w:rsidRDefault="0013041F" w:rsidP="00C502A6"/>
    <w:p w14:paraId="246EF533" w14:textId="77777777" w:rsidR="0013041F" w:rsidRDefault="0013041F" w:rsidP="00C502A6"/>
    <w:p w14:paraId="0BB8D113" w14:textId="77777777" w:rsidR="00015ACC" w:rsidRDefault="00015ACC" w:rsidP="00C502A6"/>
    <w:p w14:paraId="53C5BEB8" w14:textId="77777777" w:rsidR="002B7DAE" w:rsidRDefault="002B7DAE" w:rsidP="00C502A6"/>
    <w:p w14:paraId="7EE4EF8D" w14:textId="77777777" w:rsidR="002B7DAE" w:rsidRDefault="002B7DAE" w:rsidP="00C502A6"/>
    <w:p w14:paraId="60545664" w14:textId="2854CA47" w:rsidR="004B49A6" w:rsidRPr="00421157" w:rsidRDefault="004B49A6" w:rsidP="00C56A27">
      <w:pPr>
        <w:pStyle w:val="Heading2"/>
        <w:numPr>
          <w:ilvl w:val="1"/>
          <w:numId w:val="13"/>
        </w:numPr>
        <w:ind w:left="360"/>
      </w:pPr>
      <w:bookmarkStart w:id="164" w:name="_Toc513710335"/>
      <w:bookmarkStart w:id="165" w:name="_Toc187234596"/>
      <w:r w:rsidRPr="00DB641B">
        <w:t>Planned</w:t>
      </w:r>
      <w:r w:rsidR="00BF1E81">
        <w:t xml:space="preserve"> and Maintenance</w:t>
      </w:r>
      <w:r w:rsidRPr="00DB641B">
        <w:t xml:space="preserve"> Outage Patterns</w:t>
      </w:r>
      <w:bookmarkEnd w:id="164"/>
      <w:bookmarkEnd w:id="165"/>
    </w:p>
    <w:p w14:paraId="62E4336E" w14:textId="36D3D092" w:rsidR="009C21CC" w:rsidRDefault="004B49A6" w:rsidP="00F77FF1">
      <w:pPr>
        <w:rPr>
          <w:szCs w:val="24"/>
        </w:rPr>
      </w:pPr>
      <w:r w:rsidRPr="00B138F0">
        <w:rPr>
          <w:szCs w:val="24"/>
        </w:rPr>
        <w:t>Planned</w:t>
      </w:r>
      <w:r w:rsidR="00BF1E81">
        <w:rPr>
          <w:szCs w:val="24"/>
        </w:rPr>
        <w:t xml:space="preserve"> and Maintenance</w:t>
      </w:r>
      <w:r w:rsidRPr="00B138F0">
        <w:rPr>
          <w:szCs w:val="24"/>
        </w:rPr>
        <w:t xml:space="preserve"> </w:t>
      </w:r>
      <w:r w:rsidRPr="00372AC4">
        <w:rPr>
          <w:szCs w:val="24"/>
        </w:rPr>
        <w:t>outages occur most often in the shoulder months because the</w:t>
      </w:r>
      <w:r w:rsidR="00895F7D">
        <w:rPr>
          <w:szCs w:val="24"/>
        </w:rPr>
        <w:t xml:space="preserve"> need for</w:t>
      </w:r>
      <w:r w:rsidRPr="00372AC4">
        <w:rPr>
          <w:szCs w:val="24"/>
        </w:rPr>
        <w:t xml:space="preserve"> units to run during the peak demand months does not allow for a lot of down time. </w:t>
      </w:r>
    </w:p>
    <w:p w14:paraId="7C1C0C71" w14:textId="77777777" w:rsidR="009C21CC" w:rsidRDefault="009C21CC" w:rsidP="00F77FF1">
      <w:pPr>
        <w:rPr>
          <w:szCs w:val="24"/>
        </w:rPr>
      </w:pPr>
    </w:p>
    <w:p w14:paraId="09A95570" w14:textId="39E4A45E" w:rsidR="00BF1E81" w:rsidRDefault="00124EB7" w:rsidP="00F77FF1">
      <w:r>
        <w:t>Traditionally</w:t>
      </w:r>
      <w:r w:rsidR="004B49A6">
        <w:t xml:space="preserve">, planned </w:t>
      </w:r>
      <w:r w:rsidR="00BF1E81">
        <w:t>outage e</w:t>
      </w:r>
      <w:r w:rsidR="004B49A6">
        <w:t>vents are</w:t>
      </w:r>
      <w:r>
        <w:t xml:space="preserve"> not</w:t>
      </w:r>
      <w:r w:rsidR="004B49A6">
        <w:t xml:space="preserve"> scheduled during either the summer months </w:t>
      </w:r>
      <w:r w:rsidR="002262E0">
        <w:t xml:space="preserve">(June-September) </w:t>
      </w:r>
      <w:r w:rsidR="004B49A6">
        <w:t xml:space="preserve">or </w:t>
      </w:r>
      <w:r w:rsidR="0013041F">
        <w:t>the winter months (</w:t>
      </w:r>
      <w:r w:rsidR="004B49A6">
        <w:t>January and February</w:t>
      </w:r>
      <w:r w:rsidR="0013041F">
        <w:t>)</w:t>
      </w:r>
      <w:r w:rsidR="004B49A6">
        <w:t xml:space="preserve"> unless it cannot otherwise be avoided</w:t>
      </w:r>
      <w:r w:rsidR="00895F7D">
        <w:t>,</w:t>
      </w:r>
      <w:r w:rsidR="004B49A6">
        <w:t xml:space="preserve"> or for oil units in </w:t>
      </w:r>
      <w:r w:rsidR="00121447">
        <w:t xml:space="preserve">maintenance areas </w:t>
      </w:r>
      <w:r w:rsidR="00E14111">
        <w:t>under</w:t>
      </w:r>
      <w:r w:rsidR="00121447">
        <w:t xml:space="preserve"> the </w:t>
      </w:r>
      <w:r w:rsidR="0C221520">
        <w:t xml:space="preserve">ozone </w:t>
      </w:r>
      <w:r w:rsidR="00121447">
        <w:t>National Ambient Air Quality Standards (</w:t>
      </w:r>
      <w:r w:rsidR="000A6401">
        <w:t>“</w:t>
      </w:r>
      <w:r w:rsidR="00121447">
        <w:t>NAAQS</w:t>
      </w:r>
      <w:r w:rsidR="000A6401">
        <w:t>”</w:t>
      </w:r>
      <w:r w:rsidR="00121447">
        <w:t>)</w:t>
      </w:r>
      <w:r w:rsidR="004B49A6">
        <w:t xml:space="preserve">. </w:t>
      </w:r>
      <w:r w:rsidR="00BF1E81">
        <w:t>While the model is capable of scheduling planned outages during low load periods, it is more appropriate to model planned outages that mirror the actual outage schedules generated by the System Fleet Reliability team. This ensures that the</w:t>
      </w:r>
      <w:r w:rsidR="009C21CC">
        <w:t xml:space="preserve"> System</w:t>
      </w:r>
      <w:r w:rsidR="00BF1E81">
        <w:t xml:space="preserve"> </w:t>
      </w:r>
      <w:r w:rsidR="009C21CC">
        <w:t>Planned Outage MW targets are maintained during the simulations.</w:t>
      </w:r>
    </w:p>
    <w:p w14:paraId="101F38E5" w14:textId="77777777" w:rsidR="009C21CC" w:rsidRDefault="009C21CC" w:rsidP="00F77FF1">
      <w:pPr>
        <w:rPr>
          <w:szCs w:val="24"/>
        </w:rPr>
      </w:pPr>
    </w:p>
    <w:p w14:paraId="2A561A9D" w14:textId="658EB0B8" w:rsidR="009C21CC" w:rsidRDefault="009C21CC" w:rsidP="00F77FF1">
      <w:pPr>
        <w:rPr>
          <w:szCs w:val="24"/>
        </w:rPr>
      </w:pPr>
      <w:r>
        <w:rPr>
          <w:szCs w:val="24"/>
        </w:rPr>
        <w:t xml:space="preserve">Regarding maintenance outages, the model schedules these </w:t>
      </w:r>
      <w:r w:rsidRPr="00421157">
        <w:rPr>
          <w:szCs w:val="24"/>
        </w:rPr>
        <w:t xml:space="preserve">outages during low demand periods </w:t>
      </w:r>
      <w:r>
        <w:rPr>
          <w:szCs w:val="24"/>
        </w:rPr>
        <w:t xml:space="preserve">in </w:t>
      </w:r>
      <w:r w:rsidRPr="00421157">
        <w:rPr>
          <w:szCs w:val="24"/>
        </w:rPr>
        <w:t>such</w:t>
      </w:r>
      <w:r>
        <w:rPr>
          <w:szCs w:val="24"/>
        </w:rPr>
        <w:t xml:space="preserve"> a way that the</w:t>
      </w:r>
      <w:r w:rsidRPr="00421157">
        <w:rPr>
          <w:szCs w:val="24"/>
        </w:rPr>
        <w:t xml:space="preserve"> maintenance outage rate </w:t>
      </w:r>
      <w:r>
        <w:rPr>
          <w:szCs w:val="24"/>
        </w:rPr>
        <w:t>closely matches</w:t>
      </w:r>
      <w:r w:rsidRPr="00421157">
        <w:rPr>
          <w:szCs w:val="24"/>
        </w:rPr>
        <w:t xml:space="preserve"> the </w:t>
      </w:r>
      <w:r>
        <w:rPr>
          <w:szCs w:val="24"/>
        </w:rPr>
        <w:t>desired seasonal rates</w:t>
      </w:r>
      <w:r w:rsidR="005625AF">
        <w:rPr>
          <w:szCs w:val="24"/>
        </w:rPr>
        <w:t>,</w:t>
      </w:r>
      <w:r>
        <w:rPr>
          <w:szCs w:val="24"/>
        </w:rPr>
        <w:t xml:space="preserve"> which are based on historical maintenance outage data</w:t>
      </w:r>
      <w:r w:rsidRPr="00421157">
        <w:rPr>
          <w:szCs w:val="24"/>
        </w:rPr>
        <w:t xml:space="preserve">. </w:t>
      </w:r>
      <w:r>
        <w:rPr>
          <w:szCs w:val="24"/>
        </w:rPr>
        <w:t>In general, this results in modeled maintenance outages that are re</w:t>
      </w:r>
      <w:r w:rsidR="005625AF">
        <w:rPr>
          <w:szCs w:val="24"/>
        </w:rPr>
        <w:t xml:space="preserve">asonably </w:t>
      </w:r>
      <w:r>
        <w:rPr>
          <w:szCs w:val="24"/>
        </w:rPr>
        <w:t xml:space="preserve">consistent with the actual seasonal rates. </w:t>
      </w:r>
    </w:p>
    <w:p w14:paraId="12C2296E" w14:textId="77777777" w:rsidR="009C21CC" w:rsidRDefault="009C21CC" w:rsidP="00F77FF1">
      <w:pPr>
        <w:rPr>
          <w:szCs w:val="24"/>
        </w:rPr>
      </w:pPr>
    </w:p>
    <w:p w14:paraId="58F190EC" w14:textId="7C833F3F" w:rsidR="00BF1E81" w:rsidRDefault="008B473E" w:rsidP="00F77FF1">
      <w:pPr>
        <w:rPr>
          <w:szCs w:val="24"/>
        </w:rPr>
      </w:pPr>
      <w:r>
        <w:rPr>
          <w:szCs w:val="24"/>
        </w:rPr>
        <w:fldChar w:fldCharType="begin"/>
      </w:r>
      <w:r>
        <w:rPr>
          <w:szCs w:val="24"/>
        </w:rPr>
        <w:instrText xml:space="preserve"> REF _Ref84497341 \h </w:instrText>
      </w:r>
      <w:r>
        <w:rPr>
          <w:szCs w:val="24"/>
        </w:rPr>
      </w:r>
      <w:r>
        <w:rPr>
          <w:szCs w:val="24"/>
        </w:rPr>
        <w:fldChar w:fldCharType="separate"/>
      </w:r>
      <w:r w:rsidR="00895905">
        <w:t xml:space="preserve">Figure </w:t>
      </w:r>
      <w:r w:rsidR="00895905">
        <w:rPr>
          <w:noProof/>
        </w:rPr>
        <w:t>I</w:t>
      </w:r>
      <w:r w:rsidR="00895905">
        <w:t>.</w:t>
      </w:r>
      <w:r w:rsidR="00895905">
        <w:rPr>
          <w:noProof/>
        </w:rPr>
        <w:t>11</w:t>
      </w:r>
      <w:r>
        <w:rPr>
          <w:szCs w:val="24"/>
        </w:rPr>
        <w:fldChar w:fldCharType="end"/>
      </w:r>
      <w:r w:rsidR="009C21CC">
        <w:rPr>
          <w:szCs w:val="24"/>
        </w:rPr>
        <w:t xml:space="preserve"> below shows the likelihood that a resource will be assigned a maintenance outage in any given month.</w:t>
      </w:r>
    </w:p>
    <w:p w14:paraId="6A62D381" w14:textId="77777777" w:rsidR="007964D2" w:rsidRDefault="007964D2" w:rsidP="00F77FF1">
      <w:pPr>
        <w:rPr>
          <w:szCs w:val="24"/>
        </w:rPr>
      </w:pPr>
    </w:p>
    <w:p w14:paraId="3B926C4A" w14:textId="77777777" w:rsidR="00895905" w:rsidRDefault="00895905" w:rsidP="00F77FF1">
      <w:pPr>
        <w:rPr>
          <w:szCs w:val="24"/>
        </w:rPr>
      </w:pPr>
    </w:p>
    <w:p w14:paraId="417A3C2F" w14:textId="684D0F5F" w:rsidR="00BF1E81" w:rsidRDefault="001D06C2" w:rsidP="00F77FF1">
      <w:pPr>
        <w:rPr>
          <w:szCs w:val="24"/>
        </w:rPr>
      </w:pPr>
      <w:r>
        <w:rPr>
          <w:noProof/>
          <w:szCs w:val="24"/>
        </w:rPr>
        <w:drawing>
          <wp:inline distT="0" distB="0" distL="0" distR="0" wp14:anchorId="3FDB54B7" wp14:editId="1C1D98B2">
            <wp:extent cx="5919967" cy="4300779"/>
            <wp:effectExtent l="0" t="0" r="5080" b="5080"/>
            <wp:docPr id="10714613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1077" cy="4316115"/>
                    </a:xfrm>
                    <a:prstGeom prst="rect">
                      <a:avLst/>
                    </a:prstGeom>
                    <a:noFill/>
                  </pic:spPr>
                </pic:pic>
              </a:graphicData>
            </a:graphic>
          </wp:inline>
        </w:drawing>
      </w:r>
    </w:p>
    <w:p w14:paraId="707F4713" w14:textId="05C8E7B1" w:rsidR="004B49A6" w:rsidRDefault="0053151C" w:rsidP="0053151C">
      <w:pPr>
        <w:pStyle w:val="Caption"/>
        <w:jc w:val="both"/>
      </w:pPr>
      <w:bookmarkStart w:id="166" w:name="_Ref84497341"/>
      <w:bookmarkStart w:id="167" w:name="_Toc513710587"/>
      <w:bookmarkStart w:id="168" w:name="_Toc187234671"/>
      <w:r>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11</w:t>
      </w:r>
      <w:r w:rsidR="00F262E6">
        <w:fldChar w:fldCharType="end"/>
      </w:r>
      <w:bookmarkEnd w:id="166"/>
      <w:r>
        <w:t xml:space="preserve">. </w:t>
      </w:r>
      <w:r w:rsidR="000A6401">
        <w:t>Maintenance</w:t>
      </w:r>
      <w:r>
        <w:t xml:space="preserve"> Outage Probability by Month</w:t>
      </w:r>
      <w:bookmarkEnd w:id="167"/>
      <w:bookmarkEnd w:id="168"/>
    </w:p>
    <w:p w14:paraId="0B9F5160" w14:textId="77777777" w:rsidR="004B49A6" w:rsidRPr="00372AC4" w:rsidRDefault="004B49A6" w:rsidP="00F77FF1">
      <w:pPr>
        <w:rPr>
          <w:szCs w:val="24"/>
        </w:rPr>
      </w:pPr>
    </w:p>
    <w:p w14:paraId="7A0173D6" w14:textId="77777777" w:rsidR="004B49A6" w:rsidRPr="00421157" w:rsidRDefault="004B49A6" w:rsidP="00C56A27">
      <w:pPr>
        <w:pStyle w:val="Heading2"/>
        <w:numPr>
          <w:ilvl w:val="1"/>
          <w:numId w:val="13"/>
        </w:numPr>
        <w:ind w:left="360"/>
      </w:pPr>
      <w:bookmarkStart w:id="169" w:name="_Toc513710336"/>
      <w:bookmarkStart w:id="170" w:name="_Toc187234597"/>
      <w:r w:rsidRPr="00DB641B">
        <w:t>Commitment</w:t>
      </w:r>
      <w:r w:rsidR="00BE5ABC">
        <w:t xml:space="preserve"> and Operating Reserves</w:t>
      </w:r>
      <w:bookmarkEnd w:id="169"/>
      <w:bookmarkEnd w:id="170"/>
      <w:r w:rsidRPr="00DB641B">
        <w:t xml:space="preserve"> </w:t>
      </w:r>
    </w:p>
    <w:p w14:paraId="24C5E024" w14:textId="19EEE990" w:rsidR="004B49A6" w:rsidRDefault="004B49A6" w:rsidP="00F77FF1">
      <w:pPr>
        <w:keepNext/>
        <w:rPr>
          <w:rFonts w:cs="Arial"/>
        </w:rPr>
      </w:pPr>
      <w:r>
        <w:rPr>
          <w:rFonts w:cs="Arial"/>
        </w:rPr>
        <w:t xml:space="preserve">Resources are committed to match current operating practices. Each week during a simulation, the loads for each hour of the week are examined and the optimum dispatch is set to meet the system peak load while maintaining the required operating reserves for every hour. The optimum dispatch takes into consideration which units are available, the minimum uptimes and downtimes for each unit, the startup costs and </w:t>
      </w:r>
      <w:r w:rsidR="00895905">
        <w:rPr>
          <w:rFonts w:cs="Arial"/>
        </w:rPr>
        <w:t>startup durations</w:t>
      </w:r>
      <w:r>
        <w:rPr>
          <w:rFonts w:cs="Arial"/>
        </w:rPr>
        <w:t xml:space="preserve"> for each unit, and the necessary required operating reserves. Operating reserves are required by the Southern Balancing Authority, which is the entity responsible for balancing load and generation in the region to meet North American</w:t>
      </w:r>
      <w:r w:rsidR="005D4B3E">
        <w:rPr>
          <w:rFonts w:cs="Arial"/>
        </w:rPr>
        <w:t xml:space="preserve"> Electric</w:t>
      </w:r>
      <w:r>
        <w:rPr>
          <w:rFonts w:cs="Arial"/>
        </w:rPr>
        <w:t xml:space="preserve"> Reliability Corporation (</w:t>
      </w:r>
      <w:r w:rsidR="008E2FDE">
        <w:rPr>
          <w:rFonts w:cs="Arial"/>
        </w:rPr>
        <w:t>“</w:t>
      </w:r>
      <w:r>
        <w:rPr>
          <w:rFonts w:cs="Arial"/>
        </w:rPr>
        <w:t>NERC</w:t>
      </w:r>
      <w:r w:rsidR="008E2FDE">
        <w:rPr>
          <w:rFonts w:cs="Arial"/>
        </w:rPr>
        <w:t>”</w:t>
      </w:r>
      <w:r>
        <w:rPr>
          <w:rFonts w:cs="Arial"/>
        </w:rPr>
        <w:t>) Reliability Standards. The Southern Balancing Authority provides guidance regarding the amount of operating reserves that should be modeled based on their operational requirements. That guidance included a total operating reserve requirement of 2</w:t>
      </w:r>
      <w:r w:rsidR="00613E4E">
        <w:rPr>
          <w:rFonts w:cs="Arial"/>
        </w:rPr>
        <w:t>,</w:t>
      </w:r>
      <w:r w:rsidR="00895905">
        <w:rPr>
          <w:rFonts w:cs="Arial"/>
        </w:rPr>
        <w:t>347</w:t>
      </w:r>
      <w:r>
        <w:rPr>
          <w:rFonts w:cs="Arial"/>
        </w:rPr>
        <w:t xml:space="preserve"> MW, broken down according to the following components:</w:t>
      </w:r>
    </w:p>
    <w:p w14:paraId="5634813F" w14:textId="77777777" w:rsidR="004B49A6" w:rsidRDefault="004B49A6" w:rsidP="00F77FF1">
      <w:pPr>
        <w:keepNext/>
        <w:rPr>
          <w:rFonts w:cs="Arial"/>
        </w:rPr>
      </w:pPr>
    </w:p>
    <w:p w14:paraId="374F2242" w14:textId="7EAC1135" w:rsidR="004B49A6" w:rsidRDefault="004B49A6" w:rsidP="00C56A27">
      <w:pPr>
        <w:pStyle w:val="ListParagraph"/>
        <w:keepNext/>
        <w:numPr>
          <w:ilvl w:val="0"/>
          <w:numId w:val="14"/>
        </w:numPr>
        <w:rPr>
          <w:rFonts w:cs="Arial"/>
        </w:rPr>
      </w:pPr>
      <w:r>
        <w:rPr>
          <w:rFonts w:cs="Arial"/>
        </w:rPr>
        <w:t>Regulating Reserves: 500 MW + 8% of nominal solar capacity</w:t>
      </w:r>
      <w:r w:rsidR="004300F2">
        <w:rPr>
          <w:rFonts w:cs="Arial"/>
        </w:rPr>
        <w:t>,</w:t>
      </w:r>
      <w:r>
        <w:rPr>
          <w:rFonts w:cs="Arial"/>
        </w:rPr>
        <w:t xml:space="preserve"> </w:t>
      </w:r>
      <w:r w:rsidR="00BE65B1">
        <w:rPr>
          <w:rFonts w:cs="Arial"/>
        </w:rPr>
        <w:t>totaling</w:t>
      </w:r>
      <w:r>
        <w:rPr>
          <w:rFonts w:cs="Arial"/>
        </w:rPr>
        <w:t xml:space="preserve"> </w:t>
      </w:r>
      <w:r w:rsidR="00895905">
        <w:rPr>
          <w:rFonts w:cs="Arial"/>
        </w:rPr>
        <w:t>1,097</w:t>
      </w:r>
      <w:r>
        <w:rPr>
          <w:rFonts w:cs="Arial"/>
        </w:rPr>
        <w:t xml:space="preserve"> MW</w:t>
      </w:r>
    </w:p>
    <w:p w14:paraId="71E205AE" w14:textId="7DBF9D29" w:rsidR="004B49A6" w:rsidRDefault="004B49A6" w:rsidP="00C56A27">
      <w:pPr>
        <w:pStyle w:val="ListParagraph"/>
        <w:keepNext/>
        <w:numPr>
          <w:ilvl w:val="0"/>
          <w:numId w:val="14"/>
        </w:numPr>
        <w:rPr>
          <w:rFonts w:cs="Arial"/>
        </w:rPr>
      </w:pPr>
      <w:r>
        <w:rPr>
          <w:rFonts w:cs="Arial"/>
        </w:rPr>
        <w:t xml:space="preserve">Contingency Reserve-Spinning: </w:t>
      </w:r>
      <w:r w:rsidR="00F615A4">
        <w:rPr>
          <w:rFonts w:cs="Arial"/>
        </w:rPr>
        <w:t>625</w:t>
      </w:r>
      <w:r>
        <w:rPr>
          <w:rFonts w:cs="Arial"/>
        </w:rPr>
        <w:t xml:space="preserve"> MW</w:t>
      </w:r>
    </w:p>
    <w:p w14:paraId="0700DDE6" w14:textId="7549BEE8" w:rsidR="004B49A6" w:rsidRDefault="004B49A6" w:rsidP="00C56A27">
      <w:pPr>
        <w:pStyle w:val="ListParagraph"/>
        <w:keepNext/>
        <w:numPr>
          <w:ilvl w:val="0"/>
          <w:numId w:val="14"/>
        </w:numPr>
        <w:rPr>
          <w:rFonts w:cs="Arial"/>
        </w:rPr>
      </w:pPr>
      <w:r>
        <w:rPr>
          <w:rFonts w:cs="Arial"/>
        </w:rPr>
        <w:t xml:space="preserve">Contingency Reserve-Supplemental (Non-Spinning): </w:t>
      </w:r>
      <w:r w:rsidR="00F615A4">
        <w:rPr>
          <w:rFonts w:cs="Arial"/>
        </w:rPr>
        <w:t>625</w:t>
      </w:r>
      <w:r>
        <w:rPr>
          <w:rFonts w:cs="Arial"/>
        </w:rPr>
        <w:t xml:space="preserve"> MW</w:t>
      </w:r>
    </w:p>
    <w:p w14:paraId="474D736E" w14:textId="77777777" w:rsidR="004B49A6" w:rsidRDefault="004B49A6" w:rsidP="00F77FF1">
      <w:pPr>
        <w:keepNext/>
        <w:rPr>
          <w:rFonts w:cs="Arial"/>
        </w:rPr>
      </w:pPr>
    </w:p>
    <w:p w14:paraId="0152299E" w14:textId="29251305" w:rsidR="004B49A6" w:rsidRDefault="004B49A6" w:rsidP="00F77FF1">
      <w:pPr>
        <w:keepNext/>
        <w:rPr>
          <w:rFonts w:cs="Arial"/>
        </w:rPr>
      </w:pPr>
      <w:r>
        <w:rPr>
          <w:rFonts w:cs="Arial"/>
        </w:rPr>
        <w:t xml:space="preserve">In addition, </w:t>
      </w:r>
      <w:r w:rsidR="00B1011B">
        <w:rPr>
          <w:rFonts w:cs="Arial"/>
        </w:rPr>
        <w:t xml:space="preserve">the Southern Balancing Authority’s </w:t>
      </w:r>
      <w:r>
        <w:rPr>
          <w:rFonts w:cs="Arial"/>
        </w:rPr>
        <w:t>guidance established a f</w:t>
      </w:r>
      <w:r w:rsidRPr="00042189">
        <w:rPr>
          <w:rFonts w:cs="Arial"/>
        </w:rPr>
        <w:t xml:space="preserve">irm </w:t>
      </w:r>
      <w:r>
        <w:rPr>
          <w:rFonts w:cs="Arial"/>
        </w:rPr>
        <w:t>l</w:t>
      </w:r>
      <w:r w:rsidRPr="00042189">
        <w:rPr>
          <w:rFonts w:cs="Arial"/>
        </w:rPr>
        <w:t xml:space="preserve">oad </w:t>
      </w:r>
      <w:r>
        <w:rPr>
          <w:rFonts w:cs="Arial"/>
        </w:rPr>
        <w:t>c</w:t>
      </w:r>
      <w:r w:rsidRPr="00042189">
        <w:rPr>
          <w:rFonts w:cs="Arial"/>
        </w:rPr>
        <w:t xml:space="preserve">urtailment </w:t>
      </w:r>
      <w:r>
        <w:rPr>
          <w:rFonts w:cs="Arial"/>
        </w:rPr>
        <w:t>t</w:t>
      </w:r>
      <w:r w:rsidRPr="00042189">
        <w:rPr>
          <w:rFonts w:cs="Arial"/>
        </w:rPr>
        <w:t>hreshold</w:t>
      </w:r>
      <w:r>
        <w:rPr>
          <w:rFonts w:cs="Arial"/>
        </w:rPr>
        <w:t xml:space="preserve"> of 1</w:t>
      </w:r>
      <w:r w:rsidR="00613E4E">
        <w:rPr>
          <w:rFonts w:cs="Arial"/>
        </w:rPr>
        <w:t>,</w:t>
      </w:r>
      <w:r w:rsidRPr="00042189">
        <w:rPr>
          <w:rFonts w:cs="Arial"/>
        </w:rPr>
        <w:t xml:space="preserve">250 MW </w:t>
      </w:r>
      <w:r>
        <w:rPr>
          <w:rFonts w:cs="Arial"/>
        </w:rPr>
        <w:t>of total operating reserves, meaning that firm load should be curtailed to maintain a minimum total operating reserve requirement of 1</w:t>
      </w:r>
      <w:r w:rsidR="00613E4E">
        <w:rPr>
          <w:rFonts w:cs="Arial"/>
        </w:rPr>
        <w:t>,</w:t>
      </w:r>
      <w:r>
        <w:rPr>
          <w:rFonts w:cs="Arial"/>
        </w:rPr>
        <w:t>250</w:t>
      </w:r>
      <w:r w:rsidR="009E574F">
        <w:rPr>
          <w:rFonts w:cs="Arial"/>
        </w:rPr>
        <w:t xml:space="preserve"> </w:t>
      </w:r>
      <w:r>
        <w:rPr>
          <w:rFonts w:cs="Arial"/>
        </w:rPr>
        <w:t>MW. However, SERVM cannot model a fixed MW operating reserve value for the purposes of firm load curtailment.</w:t>
      </w:r>
      <w:r w:rsidR="00A648A6">
        <w:rPr>
          <w:rFonts w:cs="Arial"/>
        </w:rPr>
        <w:t xml:space="preserve"> </w:t>
      </w:r>
      <w:r>
        <w:rPr>
          <w:rFonts w:cs="Arial"/>
        </w:rPr>
        <w:t xml:space="preserve">Rather, SERVM can be configured to curtail firm load to maintain Regulating Reserves plus Contingency Reserve-Spinning. Therefore, only </w:t>
      </w:r>
      <w:r w:rsidR="00895905">
        <w:rPr>
          <w:rFonts w:cs="Arial"/>
        </w:rPr>
        <w:t>153</w:t>
      </w:r>
      <w:r w:rsidR="00BE65B1">
        <w:rPr>
          <w:rFonts w:cs="Arial"/>
        </w:rPr>
        <w:t xml:space="preserve"> </w:t>
      </w:r>
      <w:r>
        <w:rPr>
          <w:rFonts w:cs="Arial"/>
        </w:rPr>
        <w:t>MW of Contingency Reserve-Spinning was modeled so that the sum of Regulating Reserve and Contingency Reserve-Spinning did not exceed 1</w:t>
      </w:r>
      <w:r w:rsidR="003C0EE0">
        <w:rPr>
          <w:rFonts w:cs="Arial"/>
        </w:rPr>
        <w:t>,</w:t>
      </w:r>
      <w:r>
        <w:rPr>
          <w:rFonts w:cs="Arial"/>
        </w:rPr>
        <w:t>250</w:t>
      </w:r>
      <w:r w:rsidR="009E574F">
        <w:rPr>
          <w:rFonts w:cs="Arial"/>
        </w:rPr>
        <w:t xml:space="preserve"> </w:t>
      </w:r>
      <w:r>
        <w:rPr>
          <w:rFonts w:cs="Arial"/>
        </w:rPr>
        <w:t xml:space="preserve">MW. The remaining </w:t>
      </w:r>
      <w:r w:rsidR="00895905">
        <w:rPr>
          <w:rFonts w:cs="Arial"/>
        </w:rPr>
        <w:t>1,097</w:t>
      </w:r>
      <w:r>
        <w:rPr>
          <w:rFonts w:cs="Arial"/>
        </w:rPr>
        <w:t xml:space="preserve"> MW of the 2</w:t>
      </w:r>
      <w:r w:rsidR="00613E4E">
        <w:rPr>
          <w:rFonts w:cs="Arial"/>
        </w:rPr>
        <w:t>,</w:t>
      </w:r>
      <w:r w:rsidR="00895905">
        <w:rPr>
          <w:rFonts w:cs="Arial"/>
        </w:rPr>
        <w:t>347</w:t>
      </w:r>
      <w:r>
        <w:rPr>
          <w:rFonts w:cs="Arial"/>
        </w:rPr>
        <w:t xml:space="preserve"> MW of operating reserves was modeled as Contingency Reserve-Supplemental, such that the final modeled operating reserves were as follows:</w:t>
      </w:r>
    </w:p>
    <w:p w14:paraId="48134008" w14:textId="77777777" w:rsidR="004B49A6" w:rsidRDefault="004B49A6" w:rsidP="00F77FF1">
      <w:pPr>
        <w:keepNext/>
        <w:rPr>
          <w:rFonts w:cs="Arial"/>
        </w:rPr>
      </w:pPr>
    </w:p>
    <w:p w14:paraId="258C3E23" w14:textId="737E276E" w:rsidR="004B49A6" w:rsidRDefault="004B49A6" w:rsidP="00C56A27">
      <w:pPr>
        <w:pStyle w:val="ListParagraph"/>
        <w:keepNext/>
        <w:numPr>
          <w:ilvl w:val="0"/>
          <w:numId w:val="14"/>
        </w:numPr>
        <w:rPr>
          <w:rFonts w:cs="Arial"/>
        </w:rPr>
      </w:pPr>
      <w:r>
        <w:rPr>
          <w:rFonts w:cs="Arial"/>
        </w:rPr>
        <w:t xml:space="preserve">Regulating Reserves: </w:t>
      </w:r>
      <w:r w:rsidR="00895905">
        <w:rPr>
          <w:rFonts w:cs="Arial"/>
        </w:rPr>
        <w:t>1,097</w:t>
      </w:r>
      <w:r>
        <w:rPr>
          <w:rFonts w:cs="Arial"/>
        </w:rPr>
        <w:t xml:space="preserve"> MW</w:t>
      </w:r>
    </w:p>
    <w:p w14:paraId="103891BF" w14:textId="42F1CF97" w:rsidR="004B49A6" w:rsidRDefault="004B49A6" w:rsidP="00C56A27">
      <w:pPr>
        <w:pStyle w:val="ListParagraph"/>
        <w:keepNext/>
        <w:numPr>
          <w:ilvl w:val="0"/>
          <w:numId w:val="14"/>
        </w:numPr>
        <w:rPr>
          <w:rFonts w:cs="Arial"/>
        </w:rPr>
      </w:pPr>
      <w:r>
        <w:rPr>
          <w:rFonts w:cs="Arial"/>
        </w:rPr>
        <w:t xml:space="preserve">Contingency Reserve-Spinning: </w:t>
      </w:r>
      <w:r w:rsidR="00895905">
        <w:rPr>
          <w:rFonts w:cs="Arial"/>
        </w:rPr>
        <w:t>153</w:t>
      </w:r>
      <w:r>
        <w:rPr>
          <w:rFonts w:cs="Arial"/>
        </w:rPr>
        <w:t xml:space="preserve"> MW</w:t>
      </w:r>
    </w:p>
    <w:p w14:paraId="653BF55F" w14:textId="7A7E795B" w:rsidR="004B49A6" w:rsidRDefault="004B49A6" w:rsidP="00C56A27">
      <w:pPr>
        <w:pStyle w:val="ListParagraph"/>
        <w:keepNext/>
        <w:numPr>
          <w:ilvl w:val="0"/>
          <w:numId w:val="14"/>
        </w:numPr>
        <w:rPr>
          <w:rFonts w:cs="Arial"/>
        </w:rPr>
      </w:pPr>
      <w:r>
        <w:rPr>
          <w:rFonts w:cs="Arial"/>
        </w:rPr>
        <w:t xml:space="preserve">Contingency Reserve-Supplemental (Non-Spinning): </w:t>
      </w:r>
      <w:r w:rsidR="00895905">
        <w:rPr>
          <w:rFonts w:cs="Arial"/>
        </w:rPr>
        <w:t>1,097</w:t>
      </w:r>
      <w:r>
        <w:rPr>
          <w:rFonts w:cs="Arial"/>
        </w:rPr>
        <w:t xml:space="preserve"> MW.</w:t>
      </w:r>
    </w:p>
    <w:p w14:paraId="48412510" w14:textId="77777777" w:rsidR="004B49A6" w:rsidRPr="00372AC4" w:rsidRDefault="004B49A6" w:rsidP="00F77FF1">
      <w:pPr>
        <w:rPr>
          <w:szCs w:val="24"/>
        </w:rPr>
      </w:pPr>
    </w:p>
    <w:p w14:paraId="0637B1B4" w14:textId="77777777" w:rsidR="004B49A6" w:rsidRDefault="004B49A6" w:rsidP="00C56A27">
      <w:pPr>
        <w:pStyle w:val="Heading2"/>
        <w:numPr>
          <w:ilvl w:val="1"/>
          <w:numId w:val="13"/>
        </w:numPr>
        <w:ind w:left="360"/>
      </w:pPr>
      <w:bookmarkStart w:id="171" w:name="_Toc513710337"/>
      <w:bookmarkStart w:id="172" w:name="_Toc187234598"/>
      <w:r w:rsidRPr="004A4FD8">
        <w:t>Dispatch Order</w:t>
      </w:r>
      <w:bookmarkEnd w:id="171"/>
      <w:bookmarkEnd w:id="172"/>
    </w:p>
    <w:p w14:paraId="21A90688" w14:textId="6A43A515" w:rsidR="004B49A6" w:rsidRDefault="004B49A6" w:rsidP="00F77FF1">
      <w:r w:rsidRPr="0078732E">
        <w:t>Generation resources are generally dispatched economically based upon dispatch price</w:t>
      </w:r>
      <w:r w:rsidR="00613E4E">
        <w:t>s</w:t>
      </w:r>
      <w:r w:rsidRPr="0078732E">
        <w:t>. The exceptions include energy</w:t>
      </w:r>
      <w:r w:rsidR="00613E4E">
        <w:t>-</w:t>
      </w:r>
      <w:r w:rsidRPr="0078732E">
        <w:t>limited resources and non-dispatchable resources</w:t>
      </w:r>
      <w:r w:rsidR="00BE5ABC">
        <w:t>.</w:t>
      </w:r>
      <w:r w:rsidRPr="0078732E">
        <w:t xml:space="preserve"> Energy</w:t>
      </w:r>
      <w:r w:rsidR="00613E4E">
        <w:t>-</w:t>
      </w:r>
      <w:r w:rsidRPr="0078732E">
        <w:t xml:space="preserve">limited resources, such as hydro and pumped storage hydro, are typically scheduled based on availability of water and expected system costs. </w:t>
      </w:r>
      <w:r w:rsidR="00BE65B1">
        <w:t>The output of n</w:t>
      </w:r>
      <w:r w:rsidRPr="0078732E">
        <w:t>on-dispatchable resources, such as solar and wind</w:t>
      </w:r>
      <w:r w:rsidR="00A73F0C">
        <w:t>,</w:t>
      </w:r>
      <w:r w:rsidRPr="0078732E">
        <w:t xml:space="preserve"> vary with the weather. Therefore, the dispatchable resources are typically optimized around the output of these other non-dispa</w:t>
      </w:r>
      <w:r w:rsidR="0013182C">
        <w:t>t</w:t>
      </w:r>
      <w:r w:rsidRPr="0078732E">
        <w:t>chable or pre-scheduled resources. Demand response resources either self-curtail based upon price (</w:t>
      </w:r>
      <w:r w:rsidR="00613E4E" w:rsidRPr="00104880">
        <w:rPr>
          <w:i/>
        </w:rPr>
        <w:t>e</w:t>
      </w:r>
      <w:r w:rsidRPr="00104880">
        <w:rPr>
          <w:i/>
        </w:rPr>
        <w:t>.</w:t>
      </w:r>
      <w:r w:rsidR="00613E4E" w:rsidRPr="00104880">
        <w:rPr>
          <w:i/>
        </w:rPr>
        <w:t>g</w:t>
      </w:r>
      <w:r w:rsidRPr="00104880">
        <w:rPr>
          <w:i/>
        </w:rPr>
        <w:t>.</w:t>
      </w:r>
      <w:r w:rsidRPr="0078732E">
        <w:t xml:space="preserve">, Real Time </w:t>
      </w:r>
      <w:r w:rsidRPr="00943E4B">
        <w:t xml:space="preserve">Pricing programs) or are called whenever the system reaches certain reliability conditions (such as a system alert). </w:t>
      </w:r>
      <w:r w:rsidR="008B473E" w:rsidRPr="00943E4B">
        <w:fldChar w:fldCharType="begin"/>
      </w:r>
      <w:r w:rsidR="008B473E" w:rsidRPr="00943E4B">
        <w:instrText xml:space="preserve"> REF _Ref513785774 \h </w:instrText>
      </w:r>
      <w:r w:rsidR="00943E4B">
        <w:instrText xml:space="preserve"> \* MERGEFORMAT </w:instrText>
      </w:r>
      <w:r w:rsidR="008B473E" w:rsidRPr="00943E4B">
        <w:fldChar w:fldCharType="separate"/>
      </w:r>
      <w:r w:rsidR="004031AA" w:rsidRPr="00943E4B">
        <w:t xml:space="preserve">Figure </w:t>
      </w:r>
      <w:r w:rsidR="004031AA">
        <w:rPr>
          <w:noProof/>
        </w:rPr>
        <w:t>I</w:t>
      </w:r>
      <w:r w:rsidR="004031AA" w:rsidRPr="00943E4B">
        <w:t>.</w:t>
      </w:r>
      <w:r w:rsidR="004031AA">
        <w:rPr>
          <w:noProof/>
        </w:rPr>
        <w:t>12</w:t>
      </w:r>
      <w:r w:rsidR="008B473E" w:rsidRPr="00943E4B">
        <w:fldChar w:fldCharType="end"/>
      </w:r>
      <w:r w:rsidR="008B473E">
        <w:t xml:space="preserve"> </w:t>
      </w:r>
      <w:r w:rsidRPr="0078732E">
        <w:t>below shows the d</w:t>
      </w:r>
      <w:r>
        <w:t>ispatch stack order for the dis</w:t>
      </w:r>
      <w:r w:rsidRPr="0078732E">
        <w:t>patchable resources modeled in the 20</w:t>
      </w:r>
      <w:r w:rsidR="00BC372C">
        <w:t>2</w:t>
      </w:r>
      <w:r w:rsidR="004031AA">
        <w:t>4</w:t>
      </w:r>
      <w:r w:rsidRPr="0078732E">
        <w:t xml:space="preserve"> Reserve Margin Study. The chart excludes the energy</w:t>
      </w:r>
      <w:r w:rsidR="00613E4E">
        <w:t>-</w:t>
      </w:r>
      <w:r w:rsidRPr="0078732E">
        <w:t>limited, non-dispatchable, and demand response resources.</w:t>
      </w:r>
    </w:p>
    <w:p w14:paraId="6C6C5576" w14:textId="77777777" w:rsidR="004B49A6" w:rsidRDefault="004B49A6" w:rsidP="00F77FF1"/>
    <w:p w14:paraId="131789B4" w14:textId="00DF57DC" w:rsidR="0053151C" w:rsidRDefault="002A4DA5" w:rsidP="0053151C">
      <w:pPr>
        <w:keepNext/>
      </w:pPr>
      <w:r>
        <w:rPr>
          <w:noProof/>
        </w:rPr>
        <mc:AlternateContent>
          <mc:Choice Requires="wps">
            <w:drawing>
              <wp:inline distT="0" distB="0" distL="0" distR="0" wp14:anchorId="133A3B76" wp14:editId="7B2436A1">
                <wp:extent cx="5907024" cy="4288536"/>
                <wp:effectExtent l="0" t="0" r="17780" b="17145"/>
                <wp:docPr id="1648622623" name="Rectangle 1"/>
                <wp:cNvGraphicFramePr/>
                <a:graphic xmlns:a="http://schemas.openxmlformats.org/drawingml/2006/main">
                  <a:graphicData uri="http://schemas.microsoft.com/office/word/2010/wordprocessingShape">
                    <wps:wsp>
                      <wps:cNvSpPr/>
                      <wps:spPr>
                        <a:xfrm>
                          <a:off x="0" y="0"/>
                          <a:ext cx="5907024" cy="4288536"/>
                        </a:xfrm>
                        <a:prstGeom prst="rect">
                          <a:avLst/>
                        </a:prstGeom>
                        <a:noFill/>
                      </wps:spPr>
                      <wps:style>
                        <a:lnRef idx="2">
                          <a:schemeClr val="dk1"/>
                        </a:lnRef>
                        <a:fillRef idx="1">
                          <a:schemeClr val="lt1"/>
                        </a:fillRef>
                        <a:effectRef idx="0">
                          <a:schemeClr val="dk1"/>
                        </a:effectRef>
                        <a:fontRef idx="minor">
                          <a:schemeClr val="dk1"/>
                        </a:fontRef>
                      </wps:style>
                      <wps:txbx>
                        <w:txbxContent>
                          <w:p w14:paraId="2C740D05" w14:textId="0478AEDE" w:rsidR="00897192" w:rsidRPr="00897192" w:rsidRDefault="00897192" w:rsidP="00897192">
                            <w:pPr>
                              <w:jc w:val="center"/>
                              <w:rPr>
                                <w:b/>
                                <w:bCs/>
                              </w:rPr>
                            </w:pPr>
                            <w:r w:rsidRPr="00897192">
                              <w:rPr>
                                <w:b/>
                                <w:bCs/>
                              </w:rPr>
                              <w:t>REDACTED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33A3B76" id="Rectangle 1" o:spid="_x0000_s1027" style="width:465.1pt;height:337.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" filled="f" strokecolor="black [3200]" strokeweight="2pt">
                <v:textbox>
                  <w:txbxContent>
                    <w:p w14:paraId="2C740D05" w14:textId="0478AEDE" w:rsidR="00897192" w:rsidRPr="00897192" w:rsidRDefault="00897192" w:rsidP="00897192">
                      <w:pPr>
                        <w:jc w:val="center"/>
                        <w:rPr>
                          <w:b/>
                          <w:bCs/>
                        </w:rPr>
                      </w:pPr>
                      <w:r w:rsidRPr="00897192">
                        <w:rPr>
                          <w:b/>
                          <w:bCs/>
                        </w:rPr>
                        <w:t>REDACTED</w:t>
                      </w:r>
                    </w:p>
                  </w:txbxContent>
                </v:textbox>
                <w10:anchorlock/>
              </v:rect>
            </w:pict>
          </mc:Fallback>
        </mc:AlternateContent>
      </w:r>
    </w:p>
    <w:p w14:paraId="090A7F5B" w14:textId="148FE243" w:rsidR="004B49A6" w:rsidRPr="00F91AB5" w:rsidRDefault="0053151C" w:rsidP="0053151C">
      <w:pPr>
        <w:pStyle w:val="Caption"/>
        <w:jc w:val="both"/>
      </w:pPr>
      <w:bookmarkStart w:id="173" w:name="_Ref513785774"/>
      <w:bookmarkStart w:id="174" w:name="_Toc513710588"/>
      <w:bookmarkStart w:id="175" w:name="_Toc187234672"/>
      <w:r w:rsidRPr="00943E4B">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12</w:t>
      </w:r>
      <w:r w:rsidR="00F262E6">
        <w:fldChar w:fldCharType="end"/>
      </w:r>
      <w:bookmarkEnd w:id="173"/>
      <w:r w:rsidRPr="00943E4B">
        <w:t>. System Dispatch Stack</w:t>
      </w:r>
      <w:bookmarkEnd w:id="174"/>
      <w:bookmarkEnd w:id="175"/>
    </w:p>
    <w:p w14:paraId="72C48C0A" w14:textId="77777777" w:rsidR="004B49A6" w:rsidRPr="00C627E2" w:rsidRDefault="004B49A6" w:rsidP="00F77FF1">
      <w:pPr>
        <w:rPr>
          <w:szCs w:val="24"/>
        </w:rPr>
      </w:pPr>
    </w:p>
    <w:p w14:paraId="793D4E7F" w14:textId="77777777" w:rsidR="004B49A6" w:rsidRPr="00421157" w:rsidRDefault="004B49A6" w:rsidP="00C56A27">
      <w:pPr>
        <w:pStyle w:val="Heading2"/>
        <w:numPr>
          <w:ilvl w:val="1"/>
          <w:numId w:val="13"/>
        </w:numPr>
        <w:ind w:left="360"/>
      </w:pPr>
      <w:bookmarkStart w:id="176" w:name="_Toc513710338"/>
      <w:bookmarkStart w:id="177" w:name="_Toc187234599"/>
      <w:r w:rsidRPr="00DB641B">
        <w:t>Dispatchers’ Peak Load Estimate Error</w:t>
      </w:r>
      <w:bookmarkEnd w:id="176"/>
      <w:bookmarkEnd w:id="177"/>
    </w:p>
    <w:p w14:paraId="3FF94982" w14:textId="54912624" w:rsidR="004B49A6" w:rsidRDefault="004B49A6" w:rsidP="00F77FF1">
      <w:pPr>
        <w:rPr>
          <w:szCs w:val="24"/>
        </w:rPr>
      </w:pPr>
      <w:r w:rsidRPr="00B138F0">
        <w:rPr>
          <w:szCs w:val="24"/>
        </w:rPr>
        <w:t xml:space="preserve">The </w:t>
      </w:r>
      <w:r w:rsidR="00203454" w:rsidRPr="00B138F0">
        <w:rPr>
          <w:szCs w:val="24"/>
        </w:rPr>
        <w:t>dispatchers</w:t>
      </w:r>
      <w:r w:rsidR="00203454">
        <w:rPr>
          <w:szCs w:val="24"/>
        </w:rPr>
        <w:t>’</w:t>
      </w:r>
      <w:r w:rsidR="00203454" w:rsidRPr="00B138F0">
        <w:rPr>
          <w:szCs w:val="24"/>
        </w:rPr>
        <w:t xml:space="preserve"> </w:t>
      </w:r>
      <w:r w:rsidRPr="00B138F0">
        <w:rPr>
          <w:szCs w:val="24"/>
        </w:rPr>
        <w:t xml:space="preserve">peak load estimate error </w:t>
      </w:r>
      <w:r>
        <w:rPr>
          <w:szCs w:val="24"/>
        </w:rPr>
        <w:t>consists of three separate time periods, including day ahead, four-hour ahead, and hour ahead. The amount of dispatchers</w:t>
      </w:r>
      <w:r w:rsidR="003C0EE0">
        <w:rPr>
          <w:szCs w:val="24"/>
        </w:rPr>
        <w:t>’</w:t>
      </w:r>
      <w:r>
        <w:rPr>
          <w:szCs w:val="24"/>
        </w:rPr>
        <w:t xml:space="preserve"> peak load estimate error modeled for each of these time periods was based on historical forecast error data for the years 201</w:t>
      </w:r>
      <w:r w:rsidR="00151B86">
        <w:rPr>
          <w:szCs w:val="24"/>
        </w:rPr>
        <w:t>8</w:t>
      </w:r>
      <w:r>
        <w:rPr>
          <w:szCs w:val="24"/>
        </w:rPr>
        <w:t xml:space="preserve"> through 20</w:t>
      </w:r>
      <w:r w:rsidR="00B56671">
        <w:rPr>
          <w:szCs w:val="24"/>
        </w:rPr>
        <w:t>2</w:t>
      </w:r>
      <w:r w:rsidR="00151B86">
        <w:rPr>
          <w:szCs w:val="24"/>
        </w:rPr>
        <w:t>2</w:t>
      </w:r>
      <w:r>
        <w:rPr>
          <w:szCs w:val="24"/>
        </w:rPr>
        <w:t xml:space="preserve">. </w:t>
      </w:r>
      <w:r w:rsidR="009251FC">
        <w:rPr>
          <w:szCs w:val="24"/>
        </w:rPr>
        <w:t xml:space="preserve">The table </w:t>
      </w:r>
      <w:r>
        <w:rPr>
          <w:szCs w:val="24"/>
        </w:rPr>
        <w:t>below shows the resulting mean and standard deviation that served as the basis for the modeled dispatchers</w:t>
      </w:r>
      <w:r w:rsidR="003C0EE0">
        <w:rPr>
          <w:szCs w:val="24"/>
        </w:rPr>
        <w:t>’</w:t>
      </w:r>
      <w:r>
        <w:rPr>
          <w:szCs w:val="24"/>
        </w:rPr>
        <w:t xml:space="preserve"> peak load estimate error.</w:t>
      </w:r>
    </w:p>
    <w:p w14:paraId="7D6D2C1F" w14:textId="77777777" w:rsidR="00CC2620" w:rsidRDefault="00CC2620">
      <w:pPr>
        <w:spacing w:line="240" w:lineRule="auto"/>
        <w:jc w:val="left"/>
        <w:rPr>
          <w:b/>
          <w:szCs w:val="24"/>
        </w:rPr>
      </w:pPr>
    </w:p>
    <w:p w14:paraId="37BAF31E" w14:textId="77777777" w:rsidR="005F4EE3" w:rsidRDefault="005F4EE3">
      <w:pPr>
        <w:spacing w:line="240" w:lineRule="auto"/>
        <w:jc w:val="left"/>
        <w:rPr>
          <w:b/>
          <w:szCs w:val="24"/>
        </w:rPr>
      </w:pPr>
    </w:p>
    <w:p w14:paraId="45E54999" w14:textId="77777777" w:rsidR="005F4EE3" w:rsidRDefault="005F4EE3">
      <w:pPr>
        <w:spacing w:line="240" w:lineRule="auto"/>
        <w:jc w:val="left"/>
        <w:rPr>
          <w:b/>
          <w:szCs w:val="24"/>
        </w:rPr>
      </w:pPr>
    </w:p>
    <w:p w14:paraId="00BABC74" w14:textId="4AE88C58" w:rsidR="0053151C" w:rsidRDefault="0053151C" w:rsidP="0053151C">
      <w:pPr>
        <w:pStyle w:val="Caption"/>
        <w:keepNext/>
      </w:pPr>
      <w:bookmarkStart w:id="178" w:name="_Toc513710536"/>
      <w:bookmarkStart w:id="179" w:name="_Toc187234643"/>
      <w:r w:rsidRPr="00FA480A">
        <w:t xml:space="preserve">Table </w:t>
      </w:r>
      <w:r w:rsidR="00161C58">
        <w:fldChar w:fldCharType="begin"/>
      </w:r>
      <w:r w:rsidR="00161C58">
        <w:instrText xml:space="preserve"> STYLEREF 1 \s </w:instrText>
      </w:r>
      <w:r w:rsidR="00161C58">
        <w:fldChar w:fldCharType="separate"/>
      </w:r>
      <w:r w:rsidR="00161C58">
        <w:rPr>
          <w:noProof/>
        </w:rPr>
        <w:t>I</w:t>
      </w:r>
      <w:r w:rsidR="00161C58">
        <w:rPr>
          <w:noProof/>
        </w:rPr>
        <w:fldChar w:fldCharType="end"/>
      </w:r>
      <w:r w:rsidR="00922797" w:rsidRPr="00FA480A">
        <w:noBreakHyphen/>
      </w:r>
      <w:r w:rsidR="00161C58">
        <w:fldChar w:fldCharType="begin"/>
      </w:r>
      <w:r w:rsidR="00161C58">
        <w:instrText xml:space="preserve"> SEQ Table \* ARABIC \s 1 </w:instrText>
      </w:r>
      <w:r w:rsidR="00161C58">
        <w:fldChar w:fldCharType="separate"/>
      </w:r>
      <w:r w:rsidR="005F4EE3">
        <w:rPr>
          <w:noProof/>
        </w:rPr>
        <w:t>8</w:t>
      </w:r>
      <w:r w:rsidR="00161C58">
        <w:rPr>
          <w:noProof/>
        </w:rPr>
        <w:fldChar w:fldCharType="end"/>
      </w:r>
      <w:r w:rsidRPr="00FA480A">
        <w:t>. Historical Dispatchers</w:t>
      </w:r>
      <w:r w:rsidR="003C0EE0" w:rsidRPr="00FA480A">
        <w:t>’</w:t>
      </w:r>
      <w:r w:rsidRPr="00FA480A">
        <w:t xml:space="preserve"> Peak </w:t>
      </w:r>
      <w:r w:rsidR="00B41B1D">
        <w:t>Load forecast error</w:t>
      </w:r>
      <w:bookmarkEnd w:id="178"/>
      <w:bookmarkEnd w:id="179"/>
    </w:p>
    <w:tbl>
      <w:tblPr>
        <w:tblW w:w="8940" w:type="dxa"/>
        <w:jc w:val="center"/>
        <w:tblLook w:val="04A0" w:firstRow="1" w:lastRow="0" w:firstColumn="1" w:lastColumn="0" w:noHBand="0" w:noVBand="1"/>
      </w:tblPr>
      <w:tblGrid>
        <w:gridCol w:w="1360"/>
        <w:gridCol w:w="1280"/>
        <w:gridCol w:w="1320"/>
        <w:gridCol w:w="1060"/>
        <w:gridCol w:w="1100"/>
        <w:gridCol w:w="1340"/>
        <w:gridCol w:w="1480"/>
      </w:tblGrid>
      <w:tr w:rsidR="004031AA" w:rsidRPr="004031AA" w14:paraId="45F73E5D" w14:textId="77777777" w:rsidTr="003542A6">
        <w:trPr>
          <w:trHeight w:val="630"/>
          <w:jc w:val="center"/>
        </w:trPr>
        <w:tc>
          <w:tcPr>
            <w:tcW w:w="13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4E6A3A" w14:textId="77777777" w:rsidR="004031AA" w:rsidRPr="004031AA" w:rsidRDefault="004031AA" w:rsidP="004031AA">
            <w:pPr>
              <w:spacing w:line="240" w:lineRule="auto"/>
              <w:jc w:val="left"/>
              <w:rPr>
                <w:rFonts w:ascii="Calibri" w:hAnsi="Calibri" w:cs="Calibri"/>
                <w:color w:val="000000"/>
                <w:sz w:val="24"/>
                <w:szCs w:val="24"/>
              </w:rPr>
            </w:pPr>
            <w:r w:rsidRPr="004031AA">
              <w:rPr>
                <w:rFonts w:ascii="Calibri" w:hAnsi="Calibri" w:cs="Calibri"/>
                <w:color w:val="000000"/>
                <w:sz w:val="24"/>
                <w:szCs w:val="24"/>
              </w:rPr>
              <w:t> </w:t>
            </w:r>
          </w:p>
        </w:tc>
        <w:tc>
          <w:tcPr>
            <w:tcW w:w="1280" w:type="dxa"/>
            <w:tcBorders>
              <w:top w:val="single" w:sz="4" w:space="0" w:color="auto"/>
              <w:left w:val="nil"/>
              <w:bottom w:val="single" w:sz="4" w:space="0" w:color="auto"/>
              <w:right w:val="single" w:sz="4" w:space="0" w:color="auto"/>
            </w:tcBorders>
            <w:shd w:val="clear" w:color="auto" w:fill="auto"/>
            <w:vAlign w:val="bottom"/>
            <w:hideMark/>
          </w:tcPr>
          <w:p w14:paraId="5C4E3BAA" w14:textId="77777777" w:rsidR="004031AA" w:rsidRPr="004031AA" w:rsidRDefault="004031AA" w:rsidP="004031AA">
            <w:pPr>
              <w:spacing w:line="240" w:lineRule="auto"/>
              <w:jc w:val="center"/>
              <w:rPr>
                <w:rFonts w:ascii="Calibri" w:hAnsi="Calibri" w:cs="Calibri"/>
                <w:b/>
                <w:bCs/>
                <w:color w:val="000000"/>
                <w:sz w:val="24"/>
                <w:szCs w:val="24"/>
              </w:rPr>
            </w:pPr>
            <w:r w:rsidRPr="004031AA">
              <w:rPr>
                <w:rFonts w:ascii="Calibri" w:hAnsi="Calibri" w:cs="Calibri"/>
                <w:b/>
                <w:bCs/>
                <w:color w:val="000000"/>
                <w:sz w:val="24"/>
                <w:szCs w:val="24"/>
              </w:rPr>
              <w:t>Day Ahead Mean</w:t>
            </w:r>
          </w:p>
        </w:tc>
        <w:tc>
          <w:tcPr>
            <w:tcW w:w="1320" w:type="dxa"/>
            <w:tcBorders>
              <w:top w:val="single" w:sz="4" w:space="0" w:color="auto"/>
              <w:left w:val="nil"/>
              <w:bottom w:val="single" w:sz="4" w:space="0" w:color="auto"/>
              <w:right w:val="single" w:sz="4" w:space="0" w:color="auto"/>
            </w:tcBorders>
            <w:shd w:val="clear" w:color="auto" w:fill="auto"/>
            <w:vAlign w:val="bottom"/>
            <w:hideMark/>
          </w:tcPr>
          <w:p w14:paraId="4053C7B1" w14:textId="77777777" w:rsidR="004031AA" w:rsidRPr="004031AA" w:rsidRDefault="004031AA" w:rsidP="004031AA">
            <w:pPr>
              <w:spacing w:line="240" w:lineRule="auto"/>
              <w:jc w:val="center"/>
              <w:rPr>
                <w:rFonts w:ascii="Calibri" w:hAnsi="Calibri" w:cs="Calibri"/>
                <w:b/>
                <w:bCs/>
                <w:color w:val="000000"/>
                <w:sz w:val="24"/>
                <w:szCs w:val="24"/>
              </w:rPr>
            </w:pPr>
            <w:r w:rsidRPr="004031AA">
              <w:rPr>
                <w:rFonts w:ascii="Calibri" w:hAnsi="Calibri" w:cs="Calibri"/>
                <w:b/>
                <w:bCs/>
                <w:color w:val="000000"/>
                <w:sz w:val="24"/>
                <w:szCs w:val="24"/>
              </w:rPr>
              <w:t>Day Ahead Std Dev</w:t>
            </w:r>
          </w:p>
        </w:tc>
        <w:tc>
          <w:tcPr>
            <w:tcW w:w="1060" w:type="dxa"/>
            <w:tcBorders>
              <w:top w:val="single" w:sz="4" w:space="0" w:color="auto"/>
              <w:left w:val="nil"/>
              <w:bottom w:val="single" w:sz="4" w:space="0" w:color="auto"/>
              <w:right w:val="single" w:sz="4" w:space="0" w:color="auto"/>
            </w:tcBorders>
            <w:shd w:val="clear" w:color="auto" w:fill="auto"/>
            <w:vAlign w:val="bottom"/>
            <w:hideMark/>
          </w:tcPr>
          <w:p w14:paraId="6920B075" w14:textId="77777777" w:rsidR="004031AA" w:rsidRPr="004031AA" w:rsidRDefault="004031AA" w:rsidP="004031AA">
            <w:pPr>
              <w:spacing w:line="240" w:lineRule="auto"/>
              <w:jc w:val="center"/>
              <w:rPr>
                <w:rFonts w:ascii="Calibri" w:hAnsi="Calibri" w:cs="Calibri"/>
                <w:b/>
                <w:bCs/>
                <w:color w:val="000000"/>
                <w:sz w:val="24"/>
                <w:szCs w:val="24"/>
              </w:rPr>
            </w:pPr>
            <w:r w:rsidRPr="004031AA">
              <w:rPr>
                <w:rFonts w:ascii="Calibri" w:hAnsi="Calibri" w:cs="Calibri"/>
                <w:b/>
                <w:bCs/>
                <w:color w:val="000000"/>
                <w:sz w:val="24"/>
                <w:szCs w:val="24"/>
              </w:rPr>
              <w:t>4-Hour Mean</w:t>
            </w:r>
          </w:p>
        </w:tc>
        <w:tc>
          <w:tcPr>
            <w:tcW w:w="1100" w:type="dxa"/>
            <w:tcBorders>
              <w:top w:val="single" w:sz="4" w:space="0" w:color="auto"/>
              <w:left w:val="nil"/>
              <w:bottom w:val="single" w:sz="4" w:space="0" w:color="auto"/>
              <w:right w:val="single" w:sz="4" w:space="0" w:color="auto"/>
            </w:tcBorders>
            <w:shd w:val="clear" w:color="auto" w:fill="auto"/>
            <w:vAlign w:val="bottom"/>
            <w:hideMark/>
          </w:tcPr>
          <w:p w14:paraId="261E6C92" w14:textId="77777777" w:rsidR="004031AA" w:rsidRPr="004031AA" w:rsidRDefault="004031AA" w:rsidP="004031AA">
            <w:pPr>
              <w:spacing w:line="240" w:lineRule="auto"/>
              <w:jc w:val="center"/>
              <w:rPr>
                <w:rFonts w:ascii="Calibri" w:hAnsi="Calibri" w:cs="Calibri"/>
                <w:b/>
                <w:bCs/>
                <w:color w:val="000000"/>
                <w:sz w:val="24"/>
                <w:szCs w:val="24"/>
              </w:rPr>
            </w:pPr>
            <w:r w:rsidRPr="004031AA">
              <w:rPr>
                <w:rFonts w:ascii="Calibri" w:hAnsi="Calibri" w:cs="Calibri"/>
                <w:b/>
                <w:bCs/>
                <w:color w:val="000000"/>
                <w:sz w:val="24"/>
                <w:szCs w:val="24"/>
              </w:rPr>
              <w:t>4-Hour Std Dev</w:t>
            </w:r>
          </w:p>
        </w:tc>
        <w:tc>
          <w:tcPr>
            <w:tcW w:w="1340" w:type="dxa"/>
            <w:tcBorders>
              <w:top w:val="single" w:sz="4" w:space="0" w:color="auto"/>
              <w:left w:val="nil"/>
              <w:bottom w:val="single" w:sz="4" w:space="0" w:color="auto"/>
              <w:right w:val="single" w:sz="4" w:space="0" w:color="auto"/>
            </w:tcBorders>
            <w:shd w:val="clear" w:color="auto" w:fill="auto"/>
            <w:vAlign w:val="bottom"/>
            <w:hideMark/>
          </w:tcPr>
          <w:p w14:paraId="7837DE60" w14:textId="77777777" w:rsidR="004031AA" w:rsidRPr="004031AA" w:rsidRDefault="004031AA" w:rsidP="004031AA">
            <w:pPr>
              <w:spacing w:line="240" w:lineRule="auto"/>
              <w:jc w:val="center"/>
              <w:rPr>
                <w:rFonts w:ascii="Calibri" w:hAnsi="Calibri" w:cs="Calibri"/>
                <w:b/>
                <w:bCs/>
                <w:color w:val="000000"/>
                <w:sz w:val="24"/>
                <w:szCs w:val="24"/>
              </w:rPr>
            </w:pPr>
            <w:r w:rsidRPr="004031AA">
              <w:rPr>
                <w:rFonts w:ascii="Calibri" w:hAnsi="Calibri" w:cs="Calibri"/>
                <w:b/>
                <w:bCs/>
                <w:color w:val="000000"/>
                <w:sz w:val="24"/>
                <w:szCs w:val="24"/>
              </w:rPr>
              <w:t>Hour Ahead Mean</w:t>
            </w:r>
          </w:p>
        </w:tc>
        <w:tc>
          <w:tcPr>
            <w:tcW w:w="1480" w:type="dxa"/>
            <w:tcBorders>
              <w:top w:val="single" w:sz="4" w:space="0" w:color="auto"/>
              <w:left w:val="nil"/>
              <w:bottom w:val="single" w:sz="4" w:space="0" w:color="auto"/>
              <w:right w:val="single" w:sz="4" w:space="0" w:color="auto"/>
            </w:tcBorders>
            <w:shd w:val="clear" w:color="auto" w:fill="auto"/>
            <w:vAlign w:val="bottom"/>
            <w:hideMark/>
          </w:tcPr>
          <w:p w14:paraId="125AF1B4" w14:textId="77777777" w:rsidR="004031AA" w:rsidRPr="004031AA" w:rsidRDefault="004031AA" w:rsidP="004031AA">
            <w:pPr>
              <w:spacing w:line="240" w:lineRule="auto"/>
              <w:jc w:val="center"/>
              <w:rPr>
                <w:rFonts w:ascii="Calibri" w:hAnsi="Calibri" w:cs="Calibri"/>
                <w:b/>
                <w:bCs/>
                <w:color w:val="000000"/>
                <w:sz w:val="24"/>
                <w:szCs w:val="24"/>
              </w:rPr>
            </w:pPr>
            <w:r w:rsidRPr="004031AA">
              <w:rPr>
                <w:rFonts w:ascii="Calibri" w:hAnsi="Calibri" w:cs="Calibri"/>
                <w:b/>
                <w:bCs/>
                <w:color w:val="000000"/>
                <w:sz w:val="24"/>
                <w:szCs w:val="24"/>
              </w:rPr>
              <w:t>Hour Ahead Std Dev</w:t>
            </w:r>
          </w:p>
        </w:tc>
      </w:tr>
      <w:tr w:rsidR="004031AA" w:rsidRPr="004031AA" w14:paraId="3D4D54E9" w14:textId="77777777" w:rsidTr="003542A6">
        <w:trPr>
          <w:trHeight w:val="31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39204390" w14:textId="77777777" w:rsidR="004031AA" w:rsidRPr="004031AA" w:rsidRDefault="004031AA" w:rsidP="004031AA">
            <w:pPr>
              <w:spacing w:line="240" w:lineRule="auto"/>
              <w:jc w:val="left"/>
              <w:rPr>
                <w:rFonts w:ascii="Calibri" w:hAnsi="Calibri" w:cs="Calibri"/>
                <w:b/>
                <w:bCs/>
                <w:color w:val="000000"/>
                <w:sz w:val="24"/>
                <w:szCs w:val="24"/>
              </w:rPr>
            </w:pPr>
            <w:r w:rsidRPr="004031AA">
              <w:rPr>
                <w:rFonts w:ascii="Calibri" w:hAnsi="Calibri" w:cs="Calibri"/>
                <w:b/>
                <w:bCs/>
                <w:color w:val="000000"/>
                <w:sz w:val="24"/>
                <w:szCs w:val="24"/>
              </w:rPr>
              <w:t>January</w:t>
            </w:r>
          </w:p>
        </w:tc>
        <w:tc>
          <w:tcPr>
            <w:tcW w:w="1280" w:type="dxa"/>
            <w:tcBorders>
              <w:top w:val="nil"/>
              <w:left w:val="nil"/>
              <w:bottom w:val="single" w:sz="4" w:space="0" w:color="auto"/>
              <w:right w:val="single" w:sz="4" w:space="0" w:color="auto"/>
            </w:tcBorders>
            <w:shd w:val="clear" w:color="auto" w:fill="auto"/>
            <w:noWrap/>
            <w:vAlign w:val="bottom"/>
            <w:hideMark/>
          </w:tcPr>
          <w:p w14:paraId="25CCB39F"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1.3%</w:t>
            </w:r>
          </w:p>
        </w:tc>
        <w:tc>
          <w:tcPr>
            <w:tcW w:w="1320" w:type="dxa"/>
            <w:tcBorders>
              <w:top w:val="nil"/>
              <w:left w:val="nil"/>
              <w:bottom w:val="single" w:sz="4" w:space="0" w:color="auto"/>
              <w:right w:val="single" w:sz="4" w:space="0" w:color="auto"/>
            </w:tcBorders>
            <w:shd w:val="clear" w:color="auto" w:fill="auto"/>
            <w:noWrap/>
            <w:vAlign w:val="bottom"/>
            <w:hideMark/>
          </w:tcPr>
          <w:p w14:paraId="3913991A"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4.5%</w:t>
            </w:r>
          </w:p>
        </w:tc>
        <w:tc>
          <w:tcPr>
            <w:tcW w:w="1060" w:type="dxa"/>
            <w:tcBorders>
              <w:top w:val="nil"/>
              <w:left w:val="nil"/>
              <w:bottom w:val="single" w:sz="4" w:space="0" w:color="auto"/>
              <w:right w:val="single" w:sz="4" w:space="0" w:color="auto"/>
            </w:tcBorders>
            <w:shd w:val="clear" w:color="auto" w:fill="auto"/>
            <w:noWrap/>
            <w:vAlign w:val="bottom"/>
            <w:hideMark/>
          </w:tcPr>
          <w:p w14:paraId="3FE55914"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0.4%</w:t>
            </w:r>
          </w:p>
        </w:tc>
        <w:tc>
          <w:tcPr>
            <w:tcW w:w="1100" w:type="dxa"/>
            <w:tcBorders>
              <w:top w:val="nil"/>
              <w:left w:val="nil"/>
              <w:bottom w:val="single" w:sz="4" w:space="0" w:color="auto"/>
              <w:right w:val="single" w:sz="4" w:space="0" w:color="auto"/>
            </w:tcBorders>
            <w:shd w:val="clear" w:color="auto" w:fill="auto"/>
            <w:noWrap/>
            <w:vAlign w:val="bottom"/>
            <w:hideMark/>
          </w:tcPr>
          <w:p w14:paraId="5C973DEA"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1.7%</w:t>
            </w:r>
          </w:p>
        </w:tc>
        <w:tc>
          <w:tcPr>
            <w:tcW w:w="1340" w:type="dxa"/>
            <w:tcBorders>
              <w:top w:val="nil"/>
              <w:left w:val="nil"/>
              <w:bottom w:val="single" w:sz="4" w:space="0" w:color="auto"/>
              <w:right w:val="single" w:sz="4" w:space="0" w:color="auto"/>
            </w:tcBorders>
            <w:shd w:val="clear" w:color="auto" w:fill="auto"/>
            <w:noWrap/>
            <w:vAlign w:val="bottom"/>
            <w:hideMark/>
          </w:tcPr>
          <w:p w14:paraId="312F1832"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0.5%</w:t>
            </w:r>
          </w:p>
        </w:tc>
        <w:tc>
          <w:tcPr>
            <w:tcW w:w="1480" w:type="dxa"/>
            <w:tcBorders>
              <w:top w:val="nil"/>
              <w:left w:val="nil"/>
              <w:bottom w:val="single" w:sz="4" w:space="0" w:color="auto"/>
              <w:right w:val="single" w:sz="4" w:space="0" w:color="auto"/>
            </w:tcBorders>
            <w:shd w:val="clear" w:color="auto" w:fill="auto"/>
            <w:noWrap/>
            <w:vAlign w:val="bottom"/>
            <w:hideMark/>
          </w:tcPr>
          <w:p w14:paraId="76BFF600"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2.8%</w:t>
            </w:r>
          </w:p>
        </w:tc>
      </w:tr>
      <w:tr w:rsidR="004031AA" w:rsidRPr="004031AA" w14:paraId="53F418A3" w14:textId="77777777" w:rsidTr="003542A6">
        <w:trPr>
          <w:trHeight w:val="31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5ABF52AC" w14:textId="77777777" w:rsidR="004031AA" w:rsidRPr="004031AA" w:rsidRDefault="004031AA" w:rsidP="004031AA">
            <w:pPr>
              <w:spacing w:line="240" w:lineRule="auto"/>
              <w:jc w:val="left"/>
              <w:rPr>
                <w:rFonts w:ascii="Calibri" w:hAnsi="Calibri" w:cs="Calibri"/>
                <w:b/>
                <w:bCs/>
                <w:color w:val="000000"/>
                <w:sz w:val="24"/>
                <w:szCs w:val="24"/>
              </w:rPr>
            </w:pPr>
            <w:r w:rsidRPr="004031AA">
              <w:rPr>
                <w:rFonts w:ascii="Calibri" w:hAnsi="Calibri" w:cs="Calibri"/>
                <w:b/>
                <w:bCs/>
                <w:color w:val="000000"/>
                <w:sz w:val="24"/>
                <w:szCs w:val="24"/>
              </w:rPr>
              <w:t>February</w:t>
            </w:r>
          </w:p>
        </w:tc>
        <w:tc>
          <w:tcPr>
            <w:tcW w:w="1280" w:type="dxa"/>
            <w:tcBorders>
              <w:top w:val="nil"/>
              <w:left w:val="nil"/>
              <w:bottom w:val="single" w:sz="4" w:space="0" w:color="auto"/>
              <w:right w:val="single" w:sz="4" w:space="0" w:color="auto"/>
            </w:tcBorders>
            <w:shd w:val="clear" w:color="auto" w:fill="auto"/>
            <w:noWrap/>
            <w:vAlign w:val="bottom"/>
            <w:hideMark/>
          </w:tcPr>
          <w:p w14:paraId="78D37D21"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0.8%</w:t>
            </w:r>
          </w:p>
        </w:tc>
        <w:tc>
          <w:tcPr>
            <w:tcW w:w="1320" w:type="dxa"/>
            <w:tcBorders>
              <w:top w:val="nil"/>
              <w:left w:val="nil"/>
              <w:bottom w:val="single" w:sz="4" w:space="0" w:color="auto"/>
              <w:right w:val="single" w:sz="4" w:space="0" w:color="auto"/>
            </w:tcBorders>
            <w:shd w:val="clear" w:color="auto" w:fill="auto"/>
            <w:noWrap/>
            <w:vAlign w:val="bottom"/>
            <w:hideMark/>
          </w:tcPr>
          <w:p w14:paraId="6474435D"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3.6%</w:t>
            </w:r>
          </w:p>
        </w:tc>
        <w:tc>
          <w:tcPr>
            <w:tcW w:w="1060" w:type="dxa"/>
            <w:tcBorders>
              <w:top w:val="nil"/>
              <w:left w:val="nil"/>
              <w:bottom w:val="single" w:sz="4" w:space="0" w:color="auto"/>
              <w:right w:val="single" w:sz="4" w:space="0" w:color="auto"/>
            </w:tcBorders>
            <w:shd w:val="clear" w:color="auto" w:fill="auto"/>
            <w:noWrap/>
            <w:vAlign w:val="bottom"/>
            <w:hideMark/>
          </w:tcPr>
          <w:p w14:paraId="5B4921AC"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0.3%</w:t>
            </w:r>
          </w:p>
        </w:tc>
        <w:tc>
          <w:tcPr>
            <w:tcW w:w="1100" w:type="dxa"/>
            <w:tcBorders>
              <w:top w:val="nil"/>
              <w:left w:val="nil"/>
              <w:bottom w:val="single" w:sz="4" w:space="0" w:color="auto"/>
              <w:right w:val="single" w:sz="4" w:space="0" w:color="auto"/>
            </w:tcBorders>
            <w:shd w:val="clear" w:color="auto" w:fill="auto"/>
            <w:noWrap/>
            <w:vAlign w:val="bottom"/>
            <w:hideMark/>
          </w:tcPr>
          <w:p w14:paraId="1F9DA9FD"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1.4%</w:t>
            </w:r>
          </w:p>
        </w:tc>
        <w:tc>
          <w:tcPr>
            <w:tcW w:w="1340" w:type="dxa"/>
            <w:tcBorders>
              <w:top w:val="nil"/>
              <w:left w:val="nil"/>
              <w:bottom w:val="single" w:sz="4" w:space="0" w:color="auto"/>
              <w:right w:val="single" w:sz="4" w:space="0" w:color="auto"/>
            </w:tcBorders>
            <w:shd w:val="clear" w:color="auto" w:fill="auto"/>
            <w:noWrap/>
            <w:vAlign w:val="bottom"/>
            <w:hideMark/>
          </w:tcPr>
          <w:p w14:paraId="7E8F14F7"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0.5%</w:t>
            </w:r>
          </w:p>
        </w:tc>
        <w:tc>
          <w:tcPr>
            <w:tcW w:w="1480" w:type="dxa"/>
            <w:tcBorders>
              <w:top w:val="nil"/>
              <w:left w:val="nil"/>
              <w:bottom w:val="single" w:sz="4" w:space="0" w:color="auto"/>
              <w:right w:val="single" w:sz="4" w:space="0" w:color="auto"/>
            </w:tcBorders>
            <w:shd w:val="clear" w:color="auto" w:fill="auto"/>
            <w:noWrap/>
            <w:vAlign w:val="bottom"/>
            <w:hideMark/>
          </w:tcPr>
          <w:p w14:paraId="52244190"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2.4%</w:t>
            </w:r>
          </w:p>
        </w:tc>
      </w:tr>
      <w:tr w:rsidR="004031AA" w:rsidRPr="004031AA" w14:paraId="621B93C3" w14:textId="77777777" w:rsidTr="003542A6">
        <w:trPr>
          <w:trHeight w:val="31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5662118F" w14:textId="77777777" w:rsidR="004031AA" w:rsidRPr="004031AA" w:rsidRDefault="004031AA" w:rsidP="004031AA">
            <w:pPr>
              <w:spacing w:line="240" w:lineRule="auto"/>
              <w:jc w:val="left"/>
              <w:rPr>
                <w:rFonts w:ascii="Calibri" w:hAnsi="Calibri" w:cs="Calibri"/>
                <w:b/>
                <w:bCs/>
                <w:color w:val="000000"/>
                <w:sz w:val="24"/>
                <w:szCs w:val="24"/>
              </w:rPr>
            </w:pPr>
            <w:r w:rsidRPr="004031AA">
              <w:rPr>
                <w:rFonts w:ascii="Calibri" w:hAnsi="Calibri" w:cs="Calibri"/>
                <w:b/>
                <w:bCs/>
                <w:color w:val="000000"/>
                <w:sz w:val="24"/>
                <w:szCs w:val="24"/>
              </w:rPr>
              <w:t>March</w:t>
            </w:r>
          </w:p>
        </w:tc>
        <w:tc>
          <w:tcPr>
            <w:tcW w:w="1280" w:type="dxa"/>
            <w:tcBorders>
              <w:top w:val="nil"/>
              <w:left w:val="nil"/>
              <w:bottom w:val="single" w:sz="4" w:space="0" w:color="auto"/>
              <w:right w:val="single" w:sz="4" w:space="0" w:color="auto"/>
            </w:tcBorders>
            <w:shd w:val="clear" w:color="auto" w:fill="auto"/>
            <w:noWrap/>
            <w:vAlign w:val="bottom"/>
            <w:hideMark/>
          </w:tcPr>
          <w:p w14:paraId="0B488DD1"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0.8%</w:t>
            </w:r>
          </w:p>
        </w:tc>
        <w:tc>
          <w:tcPr>
            <w:tcW w:w="1320" w:type="dxa"/>
            <w:tcBorders>
              <w:top w:val="nil"/>
              <w:left w:val="nil"/>
              <w:bottom w:val="single" w:sz="4" w:space="0" w:color="auto"/>
              <w:right w:val="single" w:sz="4" w:space="0" w:color="auto"/>
            </w:tcBorders>
            <w:shd w:val="clear" w:color="auto" w:fill="auto"/>
            <w:noWrap/>
            <w:vAlign w:val="bottom"/>
            <w:hideMark/>
          </w:tcPr>
          <w:p w14:paraId="79754FDB"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2.7%</w:t>
            </w:r>
          </w:p>
        </w:tc>
        <w:tc>
          <w:tcPr>
            <w:tcW w:w="1060" w:type="dxa"/>
            <w:tcBorders>
              <w:top w:val="nil"/>
              <w:left w:val="nil"/>
              <w:bottom w:val="single" w:sz="4" w:space="0" w:color="auto"/>
              <w:right w:val="single" w:sz="4" w:space="0" w:color="auto"/>
            </w:tcBorders>
            <w:shd w:val="clear" w:color="auto" w:fill="auto"/>
            <w:noWrap/>
            <w:vAlign w:val="bottom"/>
            <w:hideMark/>
          </w:tcPr>
          <w:p w14:paraId="248588F5"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0.3%</w:t>
            </w:r>
          </w:p>
        </w:tc>
        <w:tc>
          <w:tcPr>
            <w:tcW w:w="1100" w:type="dxa"/>
            <w:tcBorders>
              <w:top w:val="nil"/>
              <w:left w:val="nil"/>
              <w:bottom w:val="single" w:sz="4" w:space="0" w:color="auto"/>
              <w:right w:val="single" w:sz="4" w:space="0" w:color="auto"/>
            </w:tcBorders>
            <w:shd w:val="clear" w:color="auto" w:fill="auto"/>
            <w:noWrap/>
            <w:vAlign w:val="bottom"/>
            <w:hideMark/>
          </w:tcPr>
          <w:p w14:paraId="31E3F758"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1.3%</w:t>
            </w:r>
          </w:p>
        </w:tc>
        <w:tc>
          <w:tcPr>
            <w:tcW w:w="1340" w:type="dxa"/>
            <w:tcBorders>
              <w:top w:val="nil"/>
              <w:left w:val="nil"/>
              <w:bottom w:val="single" w:sz="4" w:space="0" w:color="auto"/>
              <w:right w:val="single" w:sz="4" w:space="0" w:color="auto"/>
            </w:tcBorders>
            <w:shd w:val="clear" w:color="auto" w:fill="auto"/>
            <w:noWrap/>
            <w:vAlign w:val="bottom"/>
            <w:hideMark/>
          </w:tcPr>
          <w:p w14:paraId="1194CABB"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0.5%</w:t>
            </w:r>
          </w:p>
        </w:tc>
        <w:tc>
          <w:tcPr>
            <w:tcW w:w="1480" w:type="dxa"/>
            <w:tcBorders>
              <w:top w:val="nil"/>
              <w:left w:val="nil"/>
              <w:bottom w:val="single" w:sz="4" w:space="0" w:color="auto"/>
              <w:right w:val="single" w:sz="4" w:space="0" w:color="auto"/>
            </w:tcBorders>
            <w:shd w:val="clear" w:color="auto" w:fill="auto"/>
            <w:noWrap/>
            <w:vAlign w:val="bottom"/>
            <w:hideMark/>
          </w:tcPr>
          <w:p w14:paraId="143220A8"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2.1%</w:t>
            </w:r>
          </w:p>
        </w:tc>
      </w:tr>
      <w:tr w:rsidR="004031AA" w:rsidRPr="004031AA" w14:paraId="248241FD" w14:textId="77777777" w:rsidTr="003542A6">
        <w:trPr>
          <w:trHeight w:val="31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57008BA9" w14:textId="77777777" w:rsidR="004031AA" w:rsidRPr="004031AA" w:rsidRDefault="004031AA" w:rsidP="004031AA">
            <w:pPr>
              <w:spacing w:line="240" w:lineRule="auto"/>
              <w:jc w:val="left"/>
              <w:rPr>
                <w:rFonts w:ascii="Calibri" w:hAnsi="Calibri" w:cs="Calibri"/>
                <w:b/>
                <w:bCs/>
                <w:color w:val="000000"/>
                <w:sz w:val="24"/>
                <w:szCs w:val="24"/>
              </w:rPr>
            </w:pPr>
            <w:r w:rsidRPr="004031AA">
              <w:rPr>
                <w:rFonts w:ascii="Calibri" w:hAnsi="Calibri" w:cs="Calibri"/>
                <w:b/>
                <w:bCs/>
                <w:color w:val="000000"/>
                <w:sz w:val="24"/>
                <w:szCs w:val="24"/>
              </w:rPr>
              <w:t>April</w:t>
            </w:r>
          </w:p>
        </w:tc>
        <w:tc>
          <w:tcPr>
            <w:tcW w:w="1280" w:type="dxa"/>
            <w:tcBorders>
              <w:top w:val="nil"/>
              <w:left w:val="nil"/>
              <w:bottom w:val="single" w:sz="4" w:space="0" w:color="auto"/>
              <w:right w:val="single" w:sz="4" w:space="0" w:color="auto"/>
            </w:tcBorders>
            <w:shd w:val="clear" w:color="auto" w:fill="auto"/>
            <w:noWrap/>
            <w:vAlign w:val="bottom"/>
            <w:hideMark/>
          </w:tcPr>
          <w:p w14:paraId="4AFABAD8"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0.4%</w:t>
            </w:r>
          </w:p>
        </w:tc>
        <w:tc>
          <w:tcPr>
            <w:tcW w:w="1320" w:type="dxa"/>
            <w:tcBorders>
              <w:top w:val="nil"/>
              <w:left w:val="nil"/>
              <w:bottom w:val="single" w:sz="4" w:space="0" w:color="auto"/>
              <w:right w:val="single" w:sz="4" w:space="0" w:color="auto"/>
            </w:tcBorders>
            <w:shd w:val="clear" w:color="auto" w:fill="auto"/>
            <w:noWrap/>
            <w:vAlign w:val="bottom"/>
            <w:hideMark/>
          </w:tcPr>
          <w:p w14:paraId="0FDED241"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2.7%</w:t>
            </w:r>
          </w:p>
        </w:tc>
        <w:tc>
          <w:tcPr>
            <w:tcW w:w="1060" w:type="dxa"/>
            <w:tcBorders>
              <w:top w:val="nil"/>
              <w:left w:val="nil"/>
              <w:bottom w:val="single" w:sz="4" w:space="0" w:color="auto"/>
              <w:right w:val="single" w:sz="4" w:space="0" w:color="auto"/>
            </w:tcBorders>
            <w:shd w:val="clear" w:color="auto" w:fill="auto"/>
            <w:noWrap/>
            <w:vAlign w:val="bottom"/>
            <w:hideMark/>
          </w:tcPr>
          <w:p w14:paraId="7234BCA9"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0.2%</w:t>
            </w:r>
          </w:p>
        </w:tc>
        <w:tc>
          <w:tcPr>
            <w:tcW w:w="1100" w:type="dxa"/>
            <w:tcBorders>
              <w:top w:val="nil"/>
              <w:left w:val="nil"/>
              <w:bottom w:val="single" w:sz="4" w:space="0" w:color="auto"/>
              <w:right w:val="single" w:sz="4" w:space="0" w:color="auto"/>
            </w:tcBorders>
            <w:shd w:val="clear" w:color="auto" w:fill="auto"/>
            <w:noWrap/>
            <w:vAlign w:val="bottom"/>
            <w:hideMark/>
          </w:tcPr>
          <w:p w14:paraId="6C36904F"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1.3%</w:t>
            </w:r>
          </w:p>
        </w:tc>
        <w:tc>
          <w:tcPr>
            <w:tcW w:w="1340" w:type="dxa"/>
            <w:tcBorders>
              <w:top w:val="nil"/>
              <w:left w:val="nil"/>
              <w:bottom w:val="single" w:sz="4" w:space="0" w:color="auto"/>
              <w:right w:val="single" w:sz="4" w:space="0" w:color="auto"/>
            </w:tcBorders>
            <w:shd w:val="clear" w:color="auto" w:fill="auto"/>
            <w:noWrap/>
            <w:vAlign w:val="bottom"/>
            <w:hideMark/>
          </w:tcPr>
          <w:p w14:paraId="044B1CB7"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0.4%</w:t>
            </w:r>
          </w:p>
        </w:tc>
        <w:tc>
          <w:tcPr>
            <w:tcW w:w="1480" w:type="dxa"/>
            <w:tcBorders>
              <w:top w:val="nil"/>
              <w:left w:val="nil"/>
              <w:bottom w:val="single" w:sz="4" w:space="0" w:color="auto"/>
              <w:right w:val="single" w:sz="4" w:space="0" w:color="auto"/>
            </w:tcBorders>
            <w:shd w:val="clear" w:color="auto" w:fill="auto"/>
            <w:noWrap/>
            <w:vAlign w:val="bottom"/>
            <w:hideMark/>
          </w:tcPr>
          <w:p w14:paraId="50994F41"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2.1%</w:t>
            </w:r>
          </w:p>
        </w:tc>
      </w:tr>
      <w:tr w:rsidR="004031AA" w:rsidRPr="004031AA" w14:paraId="0020083A" w14:textId="77777777" w:rsidTr="003542A6">
        <w:trPr>
          <w:trHeight w:val="31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342A446D" w14:textId="77777777" w:rsidR="004031AA" w:rsidRPr="004031AA" w:rsidRDefault="004031AA" w:rsidP="004031AA">
            <w:pPr>
              <w:spacing w:line="240" w:lineRule="auto"/>
              <w:jc w:val="left"/>
              <w:rPr>
                <w:rFonts w:ascii="Calibri" w:hAnsi="Calibri" w:cs="Calibri"/>
                <w:b/>
                <w:bCs/>
                <w:color w:val="000000"/>
                <w:sz w:val="24"/>
                <w:szCs w:val="24"/>
              </w:rPr>
            </w:pPr>
            <w:r w:rsidRPr="004031AA">
              <w:rPr>
                <w:rFonts w:ascii="Calibri" w:hAnsi="Calibri" w:cs="Calibri"/>
                <w:b/>
                <w:bCs/>
                <w:color w:val="000000"/>
                <w:sz w:val="24"/>
                <w:szCs w:val="24"/>
              </w:rPr>
              <w:t>May</w:t>
            </w:r>
          </w:p>
        </w:tc>
        <w:tc>
          <w:tcPr>
            <w:tcW w:w="1280" w:type="dxa"/>
            <w:tcBorders>
              <w:top w:val="nil"/>
              <w:left w:val="nil"/>
              <w:bottom w:val="single" w:sz="4" w:space="0" w:color="auto"/>
              <w:right w:val="single" w:sz="4" w:space="0" w:color="auto"/>
            </w:tcBorders>
            <w:shd w:val="clear" w:color="auto" w:fill="auto"/>
            <w:noWrap/>
            <w:vAlign w:val="bottom"/>
            <w:hideMark/>
          </w:tcPr>
          <w:p w14:paraId="548FE84E"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0.5%</w:t>
            </w:r>
          </w:p>
        </w:tc>
        <w:tc>
          <w:tcPr>
            <w:tcW w:w="1320" w:type="dxa"/>
            <w:tcBorders>
              <w:top w:val="nil"/>
              <w:left w:val="nil"/>
              <w:bottom w:val="single" w:sz="4" w:space="0" w:color="auto"/>
              <w:right w:val="single" w:sz="4" w:space="0" w:color="auto"/>
            </w:tcBorders>
            <w:shd w:val="clear" w:color="auto" w:fill="auto"/>
            <w:noWrap/>
            <w:vAlign w:val="bottom"/>
            <w:hideMark/>
          </w:tcPr>
          <w:p w14:paraId="2FCFE8F4"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3.3%</w:t>
            </w:r>
          </w:p>
        </w:tc>
        <w:tc>
          <w:tcPr>
            <w:tcW w:w="1060" w:type="dxa"/>
            <w:tcBorders>
              <w:top w:val="nil"/>
              <w:left w:val="nil"/>
              <w:bottom w:val="single" w:sz="4" w:space="0" w:color="auto"/>
              <w:right w:val="single" w:sz="4" w:space="0" w:color="auto"/>
            </w:tcBorders>
            <w:shd w:val="clear" w:color="auto" w:fill="auto"/>
            <w:noWrap/>
            <w:vAlign w:val="bottom"/>
            <w:hideMark/>
          </w:tcPr>
          <w:p w14:paraId="5628B2B4"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0.1%</w:t>
            </w:r>
          </w:p>
        </w:tc>
        <w:tc>
          <w:tcPr>
            <w:tcW w:w="1100" w:type="dxa"/>
            <w:tcBorders>
              <w:top w:val="nil"/>
              <w:left w:val="nil"/>
              <w:bottom w:val="single" w:sz="4" w:space="0" w:color="auto"/>
              <w:right w:val="single" w:sz="4" w:space="0" w:color="auto"/>
            </w:tcBorders>
            <w:shd w:val="clear" w:color="auto" w:fill="auto"/>
            <w:noWrap/>
            <w:vAlign w:val="bottom"/>
            <w:hideMark/>
          </w:tcPr>
          <w:p w14:paraId="725C89F7"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2.0%</w:t>
            </w:r>
          </w:p>
        </w:tc>
        <w:tc>
          <w:tcPr>
            <w:tcW w:w="1340" w:type="dxa"/>
            <w:tcBorders>
              <w:top w:val="nil"/>
              <w:left w:val="nil"/>
              <w:bottom w:val="single" w:sz="4" w:space="0" w:color="auto"/>
              <w:right w:val="single" w:sz="4" w:space="0" w:color="auto"/>
            </w:tcBorders>
            <w:shd w:val="clear" w:color="auto" w:fill="auto"/>
            <w:noWrap/>
            <w:vAlign w:val="bottom"/>
            <w:hideMark/>
          </w:tcPr>
          <w:p w14:paraId="6325BC1E"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0.3%</w:t>
            </w:r>
          </w:p>
        </w:tc>
        <w:tc>
          <w:tcPr>
            <w:tcW w:w="1480" w:type="dxa"/>
            <w:tcBorders>
              <w:top w:val="nil"/>
              <w:left w:val="nil"/>
              <w:bottom w:val="single" w:sz="4" w:space="0" w:color="auto"/>
              <w:right w:val="single" w:sz="4" w:space="0" w:color="auto"/>
            </w:tcBorders>
            <w:shd w:val="clear" w:color="auto" w:fill="auto"/>
            <w:noWrap/>
            <w:vAlign w:val="bottom"/>
            <w:hideMark/>
          </w:tcPr>
          <w:p w14:paraId="39AEC09D"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2.5%</w:t>
            </w:r>
          </w:p>
        </w:tc>
      </w:tr>
      <w:tr w:rsidR="004031AA" w:rsidRPr="004031AA" w14:paraId="292B4BDA" w14:textId="77777777" w:rsidTr="003542A6">
        <w:trPr>
          <w:trHeight w:val="31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67E84D98" w14:textId="77777777" w:rsidR="004031AA" w:rsidRPr="004031AA" w:rsidRDefault="004031AA" w:rsidP="004031AA">
            <w:pPr>
              <w:spacing w:line="240" w:lineRule="auto"/>
              <w:jc w:val="left"/>
              <w:rPr>
                <w:rFonts w:ascii="Calibri" w:hAnsi="Calibri" w:cs="Calibri"/>
                <w:b/>
                <w:bCs/>
                <w:color w:val="000000"/>
                <w:sz w:val="24"/>
                <w:szCs w:val="24"/>
              </w:rPr>
            </w:pPr>
            <w:r w:rsidRPr="004031AA">
              <w:rPr>
                <w:rFonts w:ascii="Calibri" w:hAnsi="Calibri" w:cs="Calibri"/>
                <w:b/>
                <w:bCs/>
                <w:color w:val="000000"/>
                <w:sz w:val="24"/>
                <w:szCs w:val="24"/>
              </w:rPr>
              <w:t>June</w:t>
            </w:r>
          </w:p>
        </w:tc>
        <w:tc>
          <w:tcPr>
            <w:tcW w:w="1280" w:type="dxa"/>
            <w:tcBorders>
              <w:top w:val="nil"/>
              <w:left w:val="nil"/>
              <w:bottom w:val="single" w:sz="4" w:space="0" w:color="auto"/>
              <w:right w:val="single" w:sz="4" w:space="0" w:color="auto"/>
            </w:tcBorders>
            <w:shd w:val="clear" w:color="auto" w:fill="auto"/>
            <w:noWrap/>
            <w:vAlign w:val="bottom"/>
            <w:hideMark/>
          </w:tcPr>
          <w:p w14:paraId="55F5A6B9"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1.0%</w:t>
            </w:r>
          </w:p>
        </w:tc>
        <w:tc>
          <w:tcPr>
            <w:tcW w:w="1320" w:type="dxa"/>
            <w:tcBorders>
              <w:top w:val="nil"/>
              <w:left w:val="nil"/>
              <w:bottom w:val="single" w:sz="4" w:space="0" w:color="auto"/>
              <w:right w:val="single" w:sz="4" w:space="0" w:color="auto"/>
            </w:tcBorders>
            <w:shd w:val="clear" w:color="auto" w:fill="auto"/>
            <w:noWrap/>
            <w:vAlign w:val="bottom"/>
            <w:hideMark/>
          </w:tcPr>
          <w:p w14:paraId="4C09DBA7"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4.0%</w:t>
            </w:r>
          </w:p>
        </w:tc>
        <w:tc>
          <w:tcPr>
            <w:tcW w:w="1060" w:type="dxa"/>
            <w:tcBorders>
              <w:top w:val="nil"/>
              <w:left w:val="nil"/>
              <w:bottom w:val="single" w:sz="4" w:space="0" w:color="auto"/>
              <w:right w:val="single" w:sz="4" w:space="0" w:color="auto"/>
            </w:tcBorders>
            <w:shd w:val="clear" w:color="auto" w:fill="auto"/>
            <w:noWrap/>
            <w:vAlign w:val="bottom"/>
            <w:hideMark/>
          </w:tcPr>
          <w:p w14:paraId="313C6458"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0.2%</w:t>
            </w:r>
          </w:p>
        </w:tc>
        <w:tc>
          <w:tcPr>
            <w:tcW w:w="1100" w:type="dxa"/>
            <w:tcBorders>
              <w:top w:val="nil"/>
              <w:left w:val="nil"/>
              <w:bottom w:val="single" w:sz="4" w:space="0" w:color="auto"/>
              <w:right w:val="single" w:sz="4" w:space="0" w:color="auto"/>
            </w:tcBorders>
            <w:shd w:val="clear" w:color="auto" w:fill="auto"/>
            <w:noWrap/>
            <w:vAlign w:val="bottom"/>
            <w:hideMark/>
          </w:tcPr>
          <w:p w14:paraId="74E2532A"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2.2%</w:t>
            </w:r>
          </w:p>
        </w:tc>
        <w:tc>
          <w:tcPr>
            <w:tcW w:w="1340" w:type="dxa"/>
            <w:tcBorders>
              <w:top w:val="nil"/>
              <w:left w:val="nil"/>
              <w:bottom w:val="single" w:sz="4" w:space="0" w:color="auto"/>
              <w:right w:val="single" w:sz="4" w:space="0" w:color="auto"/>
            </w:tcBorders>
            <w:shd w:val="clear" w:color="auto" w:fill="auto"/>
            <w:noWrap/>
            <w:vAlign w:val="bottom"/>
            <w:hideMark/>
          </w:tcPr>
          <w:p w14:paraId="299D723D"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0.5%</w:t>
            </w:r>
          </w:p>
        </w:tc>
        <w:tc>
          <w:tcPr>
            <w:tcW w:w="1480" w:type="dxa"/>
            <w:tcBorders>
              <w:top w:val="nil"/>
              <w:left w:val="nil"/>
              <w:bottom w:val="single" w:sz="4" w:space="0" w:color="auto"/>
              <w:right w:val="single" w:sz="4" w:space="0" w:color="auto"/>
            </w:tcBorders>
            <w:shd w:val="clear" w:color="auto" w:fill="auto"/>
            <w:noWrap/>
            <w:vAlign w:val="bottom"/>
            <w:hideMark/>
          </w:tcPr>
          <w:p w14:paraId="18344AEE"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3.1%</w:t>
            </w:r>
          </w:p>
        </w:tc>
      </w:tr>
      <w:tr w:rsidR="004031AA" w:rsidRPr="004031AA" w14:paraId="46405BCA" w14:textId="77777777" w:rsidTr="003542A6">
        <w:trPr>
          <w:trHeight w:val="31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7D09B74B" w14:textId="77777777" w:rsidR="004031AA" w:rsidRPr="004031AA" w:rsidRDefault="004031AA" w:rsidP="004031AA">
            <w:pPr>
              <w:spacing w:line="240" w:lineRule="auto"/>
              <w:jc w:val="left"/>
              <w:rPr>
                <w:rFonts w:ascii="Calibri" w:hAnsi="Calibri" w:cs="Calibri"/>
                <w:b/>
                <w:bCs/>
                <w:color w:val="000000"/>
                <w:sz w:val="24"/>
                <w:szCs w:val="24"/>
              </w:rPr>
            </w:pPr>
            <w:r w:rsidRPr="004031AA">
              <w:rPr>
                <w:rFonts w:ascii="Calibri" w:hAnsi="Calibri" w:cs="Calibri"/>
                <w:b/>
                <w:bCs/>
                <w:color w:val="000000"/>
                <w:sz w:val="24"/>
                <w:szCs w:val="24"/>
              </w:rPr>
              <w:t>July</w:t>
            </w:r>
          </w:p>
        </w:tc>
        <w:tc>
          <w:tcPr>
            <w:tcW w:w="1280" w:type="dxa"/>
            <w:tcBorders>
              <w:top w:val="nil"/>
              <w:left w:val="nil"/>
              <w:bottom w:val="single" w:sz="4" w:space="0" w:color="auto"/>
              <w:right w:val="single" w:sz="4" w:space="0" w:color="auto"/>
            </w:tcBorders>
            <w:shd w:val="clear" w:color="auto" w:fill="auto"/>
            <w:noWrap/>
            <w:vAlign w:val="bottom"/>
            <w:hideMark/>
          </w:tcPr>
          <w:p w14:paraId="78C9B4EC"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0.8%</w:t>
            </w:r>
          </w:p>
        </w:tc>
        <w:tc>
          <w:tcPr>
            <w:tcW w:w="1320" w:type="dxa"/>
            <w:tcBorders>
              <w:top w:val="nil"/>
              <w:left w:val="nil"/>
              <w:bottom w:val="single" w:sz="4" w:space="0" w:color="auto"/>
              <w:right w:val="single" w:sz="4" w:space="0" w:color="auto"/>
            </w:tcBorders>
            <w:shd w:val="clear" w:color="auto" w:fill="auto"/>
            <w:noWrap/>
            <w:vAlign w:val="bottom"/>
            <w:hideMark/>
          </w:tcPr>
          <w:p w14:paraId="6D2ECB86"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3.2%</w:t>
            </w:r>
          </w:p>
        </w:tc>
        <w:tc>
          <w:tcPr>
            <w:tcW w:w="1060" w:type="dxa"/>
            <w:tcBorders>
              <w:top w:val="nil"/>
              <w:left w:val="nil"/>
              <w:bottom w:val="single" w:sz="4" w:space="0" w:color="auto"/>
              <w:right w:val="single" w:sz="4" w:space="0" w:color="auto"/>
            </w:tcBorders>
            <w:shd w:val="clear" w:color="auto" w:fill="auto"/>
            <w:noWrap/>
            <w:vAlign w:val="bottom"/>
            <w:hideMark/>
          </w:tcPr>
          <w:p w14:paraId="3742D562"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0.2%</w:t>
            </w:r>
          </w:p>
        </w:tc>
        <w:tc>
          <w:tcPr>
            <w:tcW w:w="1100" w:type="dxa"/>
            <w:tcBorders>
              <w:top w:val="nil"/>
              <w:left w:val="nil"/>
              <w:bottom w:val="single" w:sz="4" w:space="0" w:color="auto"/>
              <w:right w:val="single" w:sz="4" w:space="0" w:color="auto"/>
            </w:tcBorders>
            <w:shd w:val="clear" w:color="auto" w:fill="auto"/>
            <w:noWrap/>
            <w:vAlign w:val="bottom"/>
            <w:hideMark/>
          </w:tcPr>
          <w:p w14:paraId="1A00D444"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1.3%</w:t>
            </w:r>
          </w:p>
        </w:tc>
        <w:tc>
          <w:tcPr>
            <w:tcW w:w="1340" w:type="dxa"/>
            <w:tcBorders>
              <w:top w:val="nil"/>
              <w:left w:val="nil"/>
              <w:bottom w:val="single" w:sz="4" w:space="0" w:color="auto"/>
              <w:right w:val="single" w:sz="4" w:space="0" w:color="auto"/>
            </w:tcBorders>
            <w:shd w:val="clear" w:color="auto" w:fill="auto"/>
            <w:noWrap/>
            <w:vAlign w:val="bottom"/>
            <w:hideMark/>
          </w:tcPr>
          <w:p w14:paraId="2CDBE901"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0.5%</w:t>
            </w:r>
          </w:p>
        </w:tc>
        <w:tc>
          <w:tcPr>
            <w:tcW w:w="1480" w:type="dxa"/>
            <w:tcBorders>
              <w:top w:val="nil"/>
              <w:left w:val="nil"/>
              <w:bottom w:val="single" w:sz="4" w:space="0" w:color="auto"/>
              <w:right w:val="single" w:sz="4" w:space="0" w:color="auto"/>
            </w:tcBorders>
            <w:shd w:val="clear" w:color="auto" w:fill="auto"/>
            <w:noWrap/>
            <w:vAlign w:val="bottom"/>
            <w:hideMark/>
          </w:tcPr>
          <w:p w14:paraId="0B869CF7"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2.3%</w:t>
            </w:r>
          </w:p>
        </w:tc>
      </w:tr>
      <w:tr w:rsidR="004031AA" w:rsidRPr="004031AA" w14:paraId="76AB2A6A" w14:textId="77777777" w:rsidTr="003542A6">
        <w:trPr>
          <w:trHeight w:val="31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2E0E26BB" w14:textId="77777777" w:rsidR="004031AA" w:rsidRPr="004031AA" w:rsidRDefault="004031AA" w:rsidP="004031AA">
            <w:pPr>
              <w:spacing w:line="240" w:lineRule="auto"/>
              <w:jc w:val="left"/>
              <w:rPr>
                <w:rFonts w:ascii="Calibri" w:hAnsi="Calibri" w:cs="Calibri"/>
                <w:b/>
                <w:bCs/>
                <w:color w:val="000000"/>
                <w:sz w:val="24"/>
                <w:szCs w:val="24"/>
              </w:rPr>
            </w:pPr>
            <w:r w:rsidRPr="004031AA">
              <w:rPr>
                <w:rFonts w:ascii="Calibri" w:hAnsi="Calibri" w:cs="Calibri"/>
                <w:b/>
                <w:bCs/>
                <w:color w:val="000000"/>
                <w:sz w:val="24"/>
                <w:szCs w:val="24"/>
              </w:rPr>
              <w:t>August</w:t>
            </w:r>
          </w:p>
        </w:tc>
        <w:tc>
          <w:tcPr>
            <w:tcW w:w="1280" w:type="dxa"/>
            <w:tcBorders>
              <w:top w:val="nil"/>
              <w:left w:val="nil"/>
              <w:bottom w:val="single" w:sz="4" w:space="0" w:color="auto"/>
              <w:right w:val="single" w:sz="4" w:space="0" w:color="auto"/>
            </w:tcBorders>
            <w:shd w:val="clear" w:color="auto" w:fill="auto"/>
            <w:noWrap/>
            <w:vAlign w:val="bottom"/>
            <w:hideMark/>
          </w:tcPr>
          <w:p w14:paraId="6FF09F4F"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0.8%</w:t>
            </w:r>
          </w:p>
        </w:tc>
        <w:tc>
          <w:tcPr>
            <w:tcW w:w="1320" w:type="dxa"/>
            <w:tcBorders>
              <w:top w:val="nil"/>
              <w:left w:val="nil"/>
              <w:bottom w:val="single" w:sz="4" w:space="0" w:color="auto"/>
              <w:right w:val="single" w:sz="4" w:space="0" w:color="auto"/>
            </w:tcBorders>
            <w:shd w:val="clear" w:color="auto" w:fill="auto"/>
            <w:noWrap/>
            <w:vAlign w:val="bottom"/>
            <w:hideMark/>
          </w:tcPr>
          <w:p w14:paraId="7D1C8F8F"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3.0%</w:t>
            </w:r>
          </w:p>
        </w:tc>
        <w:tc>
          <w:tcPr>
            <w:tcW w:w="1060" w:type="dxa"/>
            <w:tcBorders>
              <w:top w:val="nil"/>
              <w:left w:val="nil"/>
              <w:bottom w:val="single" w:sz="4" w:space="0" w:color="auto"/>
              <w:right w:val="single" w:sz="4" w:space="0" w:color="auto"/>
            </w:tcBorders>
            <w:shd w:val="clear" w:color="auto" w:fill="auto"/>
            <w:noWrap/>
            <w:vAlign w:val="bottom"/>
            <w:hideMark/>
          </w:tcPr>
          <w:p w14:paraId="4BBC5683"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0.2%</w:t>
            </w:r>
          </w:p>
        </w:tc>
        <w:tc>
          <w:tcPr>
            <w:tcW w:w="1100" w:type="dxa"/>
            <w:tcBorders>
              <w:top w:val="nil"/>
              <w:left w:val="nil"/>
              <w:bottom w:val="single" w:sz="4" w:space="0" w:color="auto"/>
              <w:right w:val="single" w:sz="4" w:space="0" w:color="auto"/>
            </w:tcBorders>
            <w:shd w:val="clear" w:color="auto" w:fill="auto"/>
            <w:noWrap/>
            <w:vAlign w:val="bottom"/>
            <w:hideMark/>
          </w:tcPr>
          <w:p w14:paraId="134FB948"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1.2%</w:t>
            </w:r>
          </w:p>
        </w:tc>
        <w:tc>
          <w:tcPr>
            <w:tcW w:w="1340" w:type="dxa"/>
            <w:tcBorders>
              <w:top w:val="nil"/>
              <w:left w:val="nil"/>
              <w:bottom w:val="single" w:sz="4" w:space="0" w:color="auto"/>
              <w:right w:val="single" w:sz="4" w:space="0" w:color="auto"/>
            </w:tcBorders>
            <w:shd w:val="clear" w:color="auto" w:fill="auto"/>
            <w:noWrap/>
            <w:vAlign w:val="bottom"/>
            <w:hideMark/>
          </w:tcPr>
          <w:p w14:paraId="7483C2E3"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0.4%</w:t>
            </w:r>
          </w:p>
        </w:tc>
        <w:tc>
          <w:tcPr>
            <w:tcW w:w="1480" w:type="dxa"/>
            <w:tcBorders>
              <w:top w:val="nil"/>
              <w:left w:val="nil"/>
              <w:bottom w:val="single" w:sz="4" w:space="0" w:color="auto"/>
              <w:right w:val="single" w:sz="4" w:space="0" w:color="auto"/>
            </w:tcBorders>
            <w:shd w:val="clear" w:color="auto" w:fill="auto"/>
            <w:noWrap/>
            <w:vAlign w:val="bottom"/>
            <w:hideMark/>
          </w:tcPr>
          <w:p w14:paraId="7DD88675"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2.2%</w:t>
            </w:r>
          </w:p>
        </w:tc>
      </w:tr>
      <w:tr w:rsidR="004031AA" w:rsidRPr="004031AA" w14:paraId="206F1AA4" w14:textId="77777777" w:rsidTr="003542A6">
        <w:trPr>
          <w:trHeight w:val="31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1F8724B6" w14:textId="77777777" w:rsidR="004031AA" w:rsidRPr="004031AA" w:rsidRDefault="004031AA" w:rsidP="004031AA">
            <w:pPr>
              <w:spacing w:line="240" w:lineRule="auto"/>
              <w:jc w:val="left"/>
              <w:rPr>
                <w:rFonts w:ascii="Calibri" w:hAnsi="Calibri" w:cs="Calibri"/>
                <w:b/>
                <w:bCs/>
                <w:color w:val="000000"/>
                <w:sz w:val="24"/>
                <w:szCs w:val="24"/>
              </w:rPr>
            </w:pPr>
            <w:r w:rsidRPr="004031AA">
              <w:rPr>
                <w:rFonts w:ascii="Calibri" w:hAnsi="Calibri" w:cs="Calibri"/>
                <w:b/>
                <w:bCs/>
                <w:color w:val="000000"/>
                <w:sz w:val="24"/>
                <w:szCs w:val="24"/>
              </w:rPr>
              <w:t>September</w:t>
            </w:r>
          </w:p>
        </w:tc>
        <w:tc>
          <w:tcPr>
            <w:tcW w:w="1280" w:type="dxa"/>
            <w:tcBorders>
              <w:top w:val="nil"/>
              <w:left w:val="nil"/>
              <w:bottom w:val="single" w:sz="4" w:space="0" w:color="auto"/>
              <w:right w:val="single" w:sz="4" w:space="0" w:color="auto"/>
            </w:tcBorders>
            <w:shd w:val="clear" w:color="auto" w:fill="auto"/>
            <w:noWrap/>
            <w:vAlign w:val="bottom"/>
            <w:hideMark/>
          </w:tcPr>
          <w:p w14:paraId="1E982BDE"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0.6%</w:t>
            </w:r>
          </w:p>
        </w:tc>
        <w:tc>
          <w:tcPr>
            <w:tcW w:w="1320" w:type="dxa"/>
            <w:tcBorders>
              <w:top w:val="nil"/>
              <w:left w:val="nil"/>
              <w:bottom w:val="single" w:sz="4" w:space="0" w:color="auto"/>
              <w:right w:val="single" w:sz="4" w:space="0" w:color="auto"/>
            </w:tcBorders>
            <w:shd w:val="clear" w:color="auto" w:fill="auto"/>
            <w:noWrap/>
            <w:vAlign w:val="bottom"/>
            <w:hideMark/>
          </w:tcPr>
          <w:p w14:paraId="4ED79DA4"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3.1%</w:t>
            </w:r>
          </w:p>
        </w:tc>
        <w:tc>
          <w:tcPr>
            <w:tcW w:w="1060" w:type="dxa"/>
            <w:tcBorders>
              <w:top w:val="nil"/>
              <w:left w:val="nil"/>
              <w:bottom w:val="single" w:sz="4" w:space="0" w:color="auto"/>
              <w:right w:val="single" w:sz="4" w:space="0" w:color="auto"/>
            </w:tcBorders>
            <w:shd w:val="clear" w:color="auto" w:fill="auto"/>
            <w:noWrap/>
            <w:vAlign w:val="bottom"/>
            <w:hideMark/>
          </w:tcPr>
          <w:p w14:paraId="40C78D0C"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0.1%</w:t>
            </w:r>
          </w:p>
        </w:tc>
        <w:tc>
          <w:tcPr>
            <w:tcW w:w="1100" w:type="dxa"/>
            <w:tcBorders>
              <w:top w:val="nil"/>
              <w:left w:val="nil"/>
              <w:bottom w:val="single" w:sz="4" w:space="0" w:color="auto"/>
              <w:right w:val="single" w:sz="4" w:space="0" w:color="auto"/>
            </w:tcBorders>
            <w:shd w:val="clear" w:color="auto" w:fill="auto"/>
            <w:noWrap/>
            <w:vAlign w:val="bottom"/>
            <w:hideMark/>
          </w:tcPr>
          <w:p w14:paraId="427AD17D"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1.2%</w:t>
            </w:r>
          </w:p>
        </w:tc>
        <w:tc>
          <w:tcPr>
            <w:tcW w:w="1340" w:type="dxa"/>
            <w:tcBorders>
              <w:top w:val="nil"/>
              <w:left w:val="nil"/>
              <w:bottom w:val="single" w:sz="4" w:space="0" w:color="auto"/>
              <w:right w:val="single" w:sz="4" w:space="0" w:color="auto"/>
            </w:tcBorders>
            <w:shd w:val="clear" w:color="auto" w:fill="auto"/>
            <w:noWrap/>
            <w:vAlign w:val="bottom"/>
            <w:hideMark/>
          </w:tcPr>
          <w:p w14:paraId="7CC370DD"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0.2%</w:t>
            </w:r>
          </w:p>
        </w:tc>
        <w:tc>
          <w:tcPr>
            <w:tcW w:w="1480" w:type="dxa"/>
            <w:tcBorders>
              <w:top w:val="nil"/>
              <w:left w:val="nil"/>
              <w:bottom w:val="single" w:sz="4" w:space="0" w:color="auto"/>
              <w:right w:val="single" w:sz="4" w:space="0" w:color="auto"/>
            </w:tcBorders>
            <w:shd w:val="clear" w:color="auto" w:fill="auto"/>
            <w:noWrap/>
            <w:vAlign w:val="bottom"/>
            <w:hideMark/>
          </w:tcPr>
          <w:p w14:paraId="70CDC0EC"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2.0%</w:t>
            </w:r>
          </w:p>
        </w:tc>
      </w:tr>
      <w:tr w:rsidR="004031AA" w:rsidRPr="004031AA" w14:paraId="28B7462F" w14:textId="77777777" w:rsidTr="003542A6">
        <w:trPr>
          <w:trHeight w:val="31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615DD79F" w14:textId="77777777" w:rsidR="004031AA" w:rsidRPr="004031AA" w:rsidRDefault="004031AA" w:rsidP="004031AA">
            <w:pPr>
              <w:spacing w:line="240" w:lineRule="auto"/>
              <w:jc w:val="left"/>
              <w:rPr>
                <w:rFonts w:ascii="Calibri" w:hAnsi="Calibri" w:cs="Calibri"/>
                <w:b/>
                <w:bCs/>
                <w:color w:val="000000"/>
                <w:sz w:val="24"/>
                <w:szCs w:val="24"/>
              </w:rPr>
            </w:pPr>
            <w:r w:rsidRPr="004031AA">
              <w:rPr>
                <w:rFonts w:ascii="Calibri" w:hAnsi="Calibri" w:cs="Calibri"/>
                <w:b/>
                <w:bCs/>
                <w:color w:val="000000"/>
                <w:sz w:val="24"/>
                <w:szCs w:val="24"/>
              </w:rPr>
              <w:t>October</w:t>
            </w:r>
          </w:p>
        </w:tc>
        <w:tc>
          <w:tcPr>
            <w:tcW w:w="1280" w:type="dxa"/>
            <w:tcBorders>
              <w:top w:val="nil"/>
              <w:left w:val="nil"/>
              <w:bottom w:val="single" w:sz="4" w:space="0" w:color="auto"/>
              <w:right w:val="single" w:sz="4" w:space="0" w:color="auto"/>
            </w:tcBorders>
            <w:shd w:val="clear" w:color="auto" w:fill="auto"/>
            <w:noWrap/>
            <w:vAlign w:val="bottom"/>
            <w:hideMark/>
          </w:tcPr>
          <w:p w14:paraId="6825EAFE"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0.3%</w:t>
            </w:r>
          </w:p>
        </w:tc>
        <w:tc>
          <w:tcPr>
            <w:tcW w:w="1320" w:type="dxa"/>
            <w:tcBorders>
              <w:top w:val="nil"/>
              <w:left w:val="nil"/>
              <w:bottom w:val="single" w:sz="4" w:space="0" w:color="auto"/>
              <w:right w:val="single" w:sz="4" w:space="0" w:color="auto"/>
            </w:tcBorders>
            <w:shd w:val="clear" w:color="auto" w:fill="auto"/>
            <w:noWrap/>
            <w:vAlign w:val="bottom"/>
            <w:hideMark/>
          </w:tcPr>
          <w:p w14:paraId="11B4F242"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3.0%</w:t>
            </w:r>
          </w:p>
        </w:tc>
        <w:tc>
          <w:tcPr>
            <w:tcW w:w="1060" w:type="dxa"/>
            <w:tcBorders>
              <w:top w:val="nil"/>
              <w:left w:val="nil"/>
              <w:bottom w:val="single" w:sz="4" w:space="0" w:color="auto"/>
              <w:right w:val="single" w:sz="4" w:space="0" w:color="auto"/>
            </w:tcBorders>
            <w:shd w:val="clear" w:color="auto" w:fill="auto"/>
            <w:noWrap/>
            <w:vAlign w:val="bottom"/>
            <w:hideMark/>
          </w:tcPr>
          <w:p w14:paraId="65BE9B9A"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0.1%</w:t>
            </w:r>
          </w:p>
        </w:tc>
        <w:tc>
          <w:tcPr>
            <w:tcW w:w="1100" w:type="dxa"/>
            <w:tcBorders>
              <w:top w:val="nil"/>
              <w:left w:val="nil"/>
              <w:bottom w:val="single" w:sz="4" w:space="0" w:color="auto"/>
              <w:right w:val="single" w:sz="4" w:space="0" w:color="auto"/>
            </w:tcBorders>
            <w:shd w:val="clear" w:color="auto" w:fill="auto"/>
            <w:noWrap/>
            <w:vAlign w:val="bottom"/>
            <w:hideMark/>
          </w:tcPr>
          <w:p w14:paraId="5C6443AD"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1.3%</w:t>
            </w:r>
          </w:p>
        </w:tc>
        <w:tc>
          <w:tcPr>
            <w:tcW w:w="1340" w:type="dxa"/>
            <w:tcBorders>
              <w:top w:val="nil"/>
              <w:left w:val="nil"/>
              <w:bottom w:val="single" w:sz="4" w:space="0" w:color="auto"/>
              <w:right w:val="single" w:sz="4" w:space="0" w:color="auto"/>
            </w:tcBorders>
            <w:shd w:val="clear" w:color="auto" w:fill="auto"/>
            <w:noWrap/>
            <w:vAlign w:val="bottom"/>
            <w:hideMark/>
          </w:tcPr>
          <w:p w14:paraId="0D8530CC"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0.1%</w:t>
            </w:r>
          </w:p>
        </w:tc>
        <w:tc>
          <w:tcPr>
            <w:tcW w:w="1480" w:type="dxa"/>
            <w:tcBorders>
              <w:top w:val="nil"/>
              <w:left w:val="nil"/>
              <w:bottom w:val="single" w:sz="4" w:space="0" w:color="auto"/>
              <w:right w:val="single" w:sz="4" w:space="0" w:color="auto"/>
            </w:tcBorders>
            <w:shd w:val="clear" w:color="auto" w:fill="auto"/>
            <w:noWrap/>
            <w:vAlign w:val="bottom"/>
            <w:hideMark/>
          </w:tcPr>
          <w:p w14:paraId="49ADB9A2"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2.1%</w:t>
            </w:r>
          </w:p>
        </w:tc>
      </w:tr>
      <w:tr w:rsidR="004031AA" w:rsidRPr="004031AA" w14:paraId="2E569A7B" w14:textId="77777777" w:rsidTr="003542A6">
        <w:trPr>
          <w:trHeight w:val="31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1A0C33BF" w14:textId="77777777" w:rsidR="004031AA" w:rsidRPr="004031AA" w:rsidRDefault="004031AA" w:rsidP="004031AA">
            <w:pPr>
              <w:spacing w:line="240" w:lineRule="auto"/>
              <w:jc w:val="left"/>
              <w:rPr>
                <w:rFonts w:ascii="Calibri" w:hAnsi="Calibri" w:cs="Calibri"/>
                <w:b/>
                <w:bCs/>
                <w:color w:val="000000"/>
                <w:sz w:val="24"/>
                <w:szCs w:val="24"/>
              </w:rPr>
            </w:pPr>
            <w:r w:rsidRPr="004031AA">
              <w:rPr>
                <w:rFonts w:ascii="Calibri" w:hAnsi="Calibri" w:cs="Calibri"/>
                <w:b/>
                <w:bCs/>
                <w:color w:val="000000"/>
                <w:sz w:val="24"/>
                <w:szCs w:val="24"/>
              </w:rPr>
              <w:t>November</w:t>
            </w:r>
          </w:p>
        </w:tc>
        <w:tc>
          <w:tcPr>
            <w:tcW w:w="1280" w:type="dxa"/>
            <w:tcBorders>
              <w:top w:val="nil"/>
              <w:left w:val="nil"/>
              <w:bottom w:val="single" w:sz="4" w:space="0" w:color="auto"/>
              <w:right w:val="single" w:sz="4" w:space="0" w:color="auto"/>
            </w:tcBorders>
            <w:shd w:val="clear" w:color="auto" w:fill="auto"/>
            <w:noWrap/>
            <w:vAlign w:val="bottom"/>
            <w:hideMark/>
          </w:tcPr>
          <w:p w14:paraId="6129E27A"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0.1%</w:t>
            </w:r>
          </w:p>
        </w:tc>
        <w:tc>
          <w:tcPr>
            <w:tcW w:w="1320" w:type="dxa"/>
            <w:tcBorders>
              <w:top w:val="nil"/>
              <w:left w:val="nil"/>
              <w:bottom w:val="single" w:sz="4" w:space="0" w:color="auto"/>
              <w:right w:val="single" w:sz="4" w:space="0" w:color="auto"/>
            </w:tcBorders>
            <w:shd w:val="clear" w:color="auto" w:fill="auto"/>
            <w:noWrap/>
            <w:vAlign w:val="bottom"/>
            <w:hideMark/>
          </w:tcPr>
          <w:p w14:paraId="1EE25616"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3.2%</w:t>
            </w:r>
          </w:p>
        </w:tc>
        <w:tc>
          <w:tcPr>
            <w:tcW w:w="1060" w:type="dxa"/>
            <w:tcBorders>
              <w:top w:val="nil"/>
              <w:left w:val="nil"/>
              <w:bottom w:val="single" w:sz="4" w:space="0" w:color="auto"/>
              <w:right w:val="single" w:sz="4" w:space="0" w:color="auto"/>
            </w:tcBorders>
            <w:shd w:val="clear" w:color="auto" w:fill="auto"/>
            <w:noWrap/>
            <w:vAlign w:val="bottom"/>
            <w:hideMark/>
          </w:tcPr>
          <w:p w14:paraId="6C0D55D1"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0.1%</w:t>
            </w:r>
          </w:p>
        </w:tc>
        <w:tc>
          <w:tcPr>
            <w:tcW w:w="1100" w:type="dxa"/>
            <w:tcBorders>
              <w:top w:val="nil"/>
              <w:left w:val="nil"/>
              <w:bottom w:val="single" w:sz="4" w:space="0" w:color="auto"/>
              <w:right w:val="single" w:sz="4" w:space="0" w:color="auto"/>
            </w:tcBorders>
            <w:shd w:val="clear" w:color="auto" w:fill="auto"/>
            <w:noWrap/>
            <w:vAlign w:val="bottom"/>
            <w:hideMark/>
          </w:tcPr>
          <w:p w14:paraId="56A22C3C"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1.4%</w:t>
            </w:r>
          </w:p>
        </w:tc>
        <w:tc>
          <w:tcPr>
            <w:tcW w:w="1340" w:type="dxa"/>
            <w:tcBorders>
              <w:top w:val="nil"/>
              <w:left w:val="nil"/>
              <w:bottom w:val="single" w:sz="4" w:space="0" w:color="auto"/>
              <w:right w:val="single" w:sz="4" w:space="0" w:color="auto"/>
            </w:tcBorders>
            <w:shd w:val="clear" w:color="auto" w:fill="auto"/>
            <w:noWrap/>
            <w:vAlign w:val="bottom"/>
            <w:hideMark/>
          </w:tcPr>
          <w:p w14:paraId="2687D6A3"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0.1%</w:t>
            </w:r>
          </w:p>
        </w:tc>
        <w:tc>
          <w:tcPr>
            <w:tcW w:w="1480" w:type="dxa"/>
            <w:tcBorders>
              <w:top w:val="nil"/>
              <w:left w:val="nil"/>
              <w:bottom w:val="single" w:sz="4" w:space="0" w:color="auto"/>
              <w:right w:val="single" w:sz="4" w:space="0" w:color="auto"/>
            </w:tcBorders>
            <w:shd w:val="clear" w:color="auto" w:fill="auto"/>
            <w:noWrap/>
            <w:vAlign w:val="bottom"/>
            <w:hideMark/>
          </w:tcPr>
          <w:p w14:paraId="4441E0B7"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2.4%</w:t>
            </w:r>
          </w:p>
        </w:tc>
      </w:tr>
      <w:tr w:rsidR="004031AA" w:rsidRPr="004031AA" w14:paraId="660AB9F0" w14:textId="77777777" w:rsidTr="003542A6">
        <w:trPr>
          <w:trHeight w:val="315"/>
          <w:jc w:val="center"/>
        </w:trPr>
        <w:tc>
          <w:tcPr>
            <w:tcW w:w="1360" w:type="dxa"/>
            <w:tcBorders>
              <w:top w:val="nil"/>
              <w:left w:val="single" w:sz="4" w:space="0" w:color="auto"/>
              <w:bottom w:val="single" w:sz="4" w:space="0" w:color="auto"/>
              <w:right w:val="single" w:sz="4" w:space="0" w:color="auto"/>
            </w:tcBorders>
            <w:shd w:val="clear" w:color="auto" w:fill="auto"/>
            <w:noWrap/>
            <w:vAlign w:val="bottom"/>
            <w:hideMark/>
          </w:tcPr>
          <w:p w14:paraId="4B713DE5" w14:textId="77777777" w:rsidR="004031AA" w:rsidRPr="004031AA" w:rsidRDefault="004031AA" w:rsidP="004031AA">
            <w:pPr>
              <w:spacing w:line="240" w:lineRule="auto"/>
              <w:jc w:val="left"/>
              <w:rPr>
                <w:rFonts w:ascii="Calibri" w:hAnsi="Calibri" w:cs="Calibri"/>
                <w:b/>
                <w:bCs/>
                <w:color w:val="000000"/>
                <w:sz w:val="24"/>
                <w:szCs w:val="24"/>
              </w:rPr>
            </w:pPr>
            <w:r w:rsidRPr="004031AA">
              <w:rPr>
                <w:rFonts w:ascii="Calibri" w:hAnsi="Calibri" w:cs="Calibri"/>
                <w:b/>
                <w:bCs/>
                <w:color w:val="000000"/>
                <w:sz w:val="24"/>
                <w:szCs w:val="24"/>
              </w:rPr>
              <w:t>December</w:t>
            </w:r>
          </w:p>
        </w:tc>
        <w:tc>
          <w:tcPr>
            <w:tcW w:w="1280" w:type="dxa"/>
            <w:tcBorders>
              <w:top w:val="nil"/>
              <w:left w:val="nil"/>
              <w:bottom w:val="single" w:sz="4" w:space="0" w:color="auto"/>
              <w:right w:val="single" w:sz="4" w:space="0" w:color="auto"/>
            </w:tcBorders>
            <w:shd w:val="clear" w:color="auto" w:fill="auto"/>
            <w:noWrap/>
            <w:vAlign w:val="bottom"/>
            <w:hideMark/>
          </w:tcPr>
          <w:p w14:paraId="52605288"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1.1%</w:t>
            </w:r>
          </w:p>
        </w:tc>
        <w:tc>
          <w:tcPr>
            <w:tcW w:w="1320" w:type="dxa"/>
            <w:tcBorders>
              <w:top w:val="nil"/>
              <w:left w:val="nil"/>
              <w:bottom w:val="single" w:sz="4" w:space="0" w:color="auto"/>
              <w:right w:val="single" w:sz="4" w:space="0" w:color="auto"/>
            </w:tcBorders>
            <w:shd w:val="clear" w:color="auto" w:fill="auto"/>
            <w:noWrap/>
            <w:vAlign w:val="bottom"/>
            <w:hideMark/>
          </w:tcPr>
          <w:p w14:paraId="544B0B2A"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4.9%</w:t>
            </w:r>
          </w:p>
        </w:tc>
        <w:tc>
          <w:tcPr>
            <w:tcW w:w="1060" w:type="dxa"/>
            <w:tcBorders>
              <w:top w:val="nil"/>
              <w:left w:val="nil"/>
              <w:bottom w:val="single" w:sz="4" w:space="0" w:color="auto"/>
              <w:right w:val="single" w:sz="4" w:space="0" w:color="auto"/>
            </w:tcBorders>
            <w:shd w:val="clear" w:color="auto" w:fill="auto"/>
            <w:noWrap/>
            <w:vAlign w:val="bottom"/>
            <w:hideMark/>
          </w:tcPr>
          <w:p w14:paraId="5DF82957"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0.2%</w:t>
            </w:r>
          </w:p>
        </w:tc>
        <w:tc>
          <w:tcPr>
            <w:tcW w:w="1100" w:type="dxa"/>
            <w:tcBorders>
              <w:top w:val="nil"/>
              <w:left w:val="nil"/>
              <w:bottom w:val="single" w:sz="4" w:space="0" w:color="auto"/>
              <w:right w:val="single" w:sz="4" w:space="0" w:color="auto"/>
            </w:tcBorders>
            <w:shd w:val="clear" w:color="auto" w:fill="auto"/>
            <w:noWrap/>
            <w:vAlign w:val="bottom"/>
            <w:hideMark/>
          </w:tcPr>
          <w:p w14:paraId="1456DBB4"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2.7%</w:t>
            </w:r>
          </w:p>
        </w:tc>
        <w:tc>
          <w:tcPr>
            <w:tcW w:w="1340" w:type="dxa"/>
            <w:tcBorders>
              <w:top w:val="nil"/>
              <w:left w:val="nil"/>
              <w:bottom w:val="single" w:sz="4" w:space="0" w:color="auto"/>
              <w:right w:val="single" w:sz="4" w:space="0" w:color="auto"/>
            </w:tcBorders>
            <w:shd w:val="clear" w:color="auto" w:fill="auto"/>
            <w:noWrap/>
            <w:vAlign w:val="bottom"/>
            <w:hideMark/>
          </w:tcPr>
          <w:p w14:paraId="63374DD9"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0.4%</w:t>
            </w:r>
          </w:p>
        </w:tc>
        <w:tc>
          <w:tcPr>
            <w:tcW w:w="1480" w:type="dxa"/>
            <w:tcBorders>
              <w:top w:val="nil"/>
              <w:left w:val="nil"/>
              <w:bottom w:val="single" w:sz="4" w:space="0" w:color="auto"/>
              <w:right w:val="single" w:sz="4" w:space="0" w:color="auto"/>
            </w:tcBorders>
            <w:shd w:val="clear" w:color="auto" w:fill="auto"/>
            <w:noWrap/>
            <w:vAlign w:val="bottom"/>
            <w:hideMark/>
          </w:tcPr>
          <w:p w14:paraId="5BB26648" w14:textId="77777777" w:rsidR="004031AA" w:rsidRPr="004031AA" w:rsidRDefault="004031AA" w:rsidP="004031AA">
            <w:pPr>
              <w:spacing w:line="240" w:lineRule="auto"/>
              <w:jc w:val="right"/>
              <w:rPr>
                <w:rFonts w:ascii="Calibri" w:hAnsi="Calibri" w:cs="Calibri"/>
                <w:color w:val="000000"/>
                <w:sz w:val="24"/>
                <w:szCs w:val="24"/>
              </w:rPr>
            </w:pPr>
            <w:r w:rsidRPr="004031AA">
              <w:rPr>
                <w:rFonts w:ascii="Calibri" w:hAnsi="Calibri" w:cs="Calibri"/>
                <w:color w:val="000000"/>
                <w:sz w:val="24"/>
                <w:szCs w:val="24"/>
              </w:rPr>
              <w:t>3.5%</w:t>
            </w:r>
          </w:p>
        </w:tc>
      </w:tr>
    </w:tbl>
    <w:p w14:paraId="61070A04" w14:textId="77777777" w:rsidR="004B49A6" w:rsidRDefault="004B49A6" w:rsidP="00F77FF1">
      <w:pPr>
        <w:rPr>
          <w:szCs w:val="24"/>
        </w:rPr>
      </w:pPr>
    </w:p>
    <w:p w14:paraId="66182121" w14:textId="48891E34" w:rsidR="004B49A6" w:rsidRDefault="004B49A6" w:rsidP="00F77FF1"/>
    <w:p w14:paraId="46BBDB7C" w14:textId="77777777" w:rsidR="004B49A6" w:rsidRPr="00421157" w:rsidRDefault="004B49A6" w:rsidP="00C56A27">
      <w:pPr>
        <w:pStyle w:val="Heading2"/>
        <w:numPr>
          <w:ilvl w:val="1"/>
          <w:numId w:val="13"/>
        </w:numPr>
        <w:ind w:left="360"/>
      </w:pPr>
      <w:bookmarkStart w:id="180" w:name="_Toc513710339"/>
      <w:bookmarkStart w:id="181" w:name="_Toc187234600"/>
      <w:r w:rsidRPr="00421157">
        <w:t>System-Owned Conventional Hydro Generation</w:t>
      </w:r>
      <w:bookmarkEnd w:id="157"/>
      <w:bookmarkEnd w:id="158"/>
      <w:bookmarkEnd w:id="159"/>
      <w:bookmarkEnd w:id="180"/>
      <w:bookmarkEnd w:id="181"/>
    </w:p>
    <w:p w14:paraId="2FDFFE7D" w14:textId="30EFF73A" w:rsidR="004B49A6" w:rsidRPr="00372AC4" w:rsidRDefault="004B49A6" w:rsidP="00217F0E">
      <w:pPr>
        <w:rPr>
          <w:szCs w:val="24"/>
        </w:rPr>
      </w:pPr>
      <w:r w:rsidRPr="00372AC4">
        <w:rPr>
          <w:szCs w:val="24"/>
        </w:rPr>
        <w:t xml:space="preserve">System-owned hydro capacity </w:t>
      </w:r>
      <w:r w:rsidRPr="009251FC">
        <w:rPr>
          <w:szCs w:val="24"/>
        </w:rPr>
        <w:t xml:space="preserve">of </w:t>
      </w:r>
      <w:r w:rsidR="004031AA">
        <w:rPr>
          <w:szCs w:val="24"/>
        </w:rPr>
        <w:t>3</w:t>
      </w:r>
      <w:r w:rsidR="006A04BB">
        <w:rPr>
          <w:szCs w:val="24"/>
        </w:rPr>
        <w:t>,</w:t>
      </w:r>
      <w:r w:rsidR="004031AA">
        <w:rPr>
          <w:szCs w:val="24"/>
        </w:rPr>
        <w:t>250</w:t>
      </w:r>
      <w:r w:rsidRPr="00372AC4">
        <w:rPr>
          <w:szCs w:val="24"/>
        </w:rPr>
        <w:t xml:space="preserve"> MW</w:t>
      </w:r>
      <w:r w:rsidR="006A04BB">
        <w:rPr>
          <w:rStyle w:val="FootnoteReference"/>
          <w:szCs w:val="24"/>
        </w:rPr>
        <w:footnoteReference w:id="12"/>
      </w:r>
      <w:r w:rsidRPr="00372AC4">
        <w:rPr>
          <w:szCs w:val="24"/>
        </w:rPr>
        <w:t xml:space="preserve"> (projected for the year 20</w:t>
      </w:r>
      <w:r>
        <w:rPr>
          <w:szCs w:val="24"/>
        </w:rPr>
        <w:t>2</w:t>
      </w:r>
      <w:r w:rsidR="004031AA">
        <w:rPr>
          <w:szCs w:val="24"/>
        </w:rPr>
        <w:t>8</w:t>
      </w:r>
      <w:r w:rsidRPr="00372AC4">
        <w:rPr>
          <w:szCs w:val="24"/>
        </w:rPr>
        <w:t xml:space="preserve">) was divided into </w:t>
      </w:r>
      <w:r>
        <w:rPr>
          <w:szCs w:val="24"/>
        </w:rPr>
        <w:t>two</w:t>
      </w:r>
      <w:r w:rsidRPr="00372AC4">
        <w:rPr>
          <w:szCs w:val="24"/>
        </w:rPr>
        <w:t xml:space="preserve"> components:</w:t>
      </w:r>
    </w:p>
    <w:p w14:paraId="3F32BE1A" w14:textId="77777777" w:rsidR="004B49A6" w:rsidRPr="00372AC4" w:rsidRDefault="004B49A6" w:rsidP="00C56A27">
      <w:pPr>
        <w:pStyle w:val="ListParagraph"/>
        <w:numPr>
          <w:ilvl w:val="0"/>
          <w:numId w:val="4"/>
        </w:numPr>
        <w:rPr>
          <w:szCs w:val="24"/>
        </w:rPr>
      </w:pPr>
      <w:r w:rsidRPr="00372AC4">
        <w:rPr>
          <w:szCs w:val="24"/>
        </w:rPr>
        <w:t xml:space="preserve">Scheduled Hydro </w:t>
      </w:r>
    </w:p>
    <w:p w14:paraId="6890F64B" w14:textId="6E8D4367" w:rsidR="00493633" w:rsidRDefault="004B49A6" w:rsidP="00C56A27">
      <w:pPr>
        <w:pStyle w:val="ListParagraph"/>
        <w:numPr>
          <w:ilvl w:val="0"/>
          <w:numId w:val="4"/>
        </w:numPr>
      </w:pPr>
      <w:r>
        <w:t>Emergency Hydro</w:t>
      </w:r>
    </w:p>
    <w:p w14:paraId="44620AA8" w14:textId="77777777" w:rsidR="004B49A6" w:rsidRPr="00372AC4" w:rsidRDefault="004B49A6" w:rsidP="00DB641B">
      <w:pPr>
        <w:rPr>
          <w:szCs w:val="24"/>
        </w:rPr>
      </w:pPr>
    </w:p>
    <w:p w14:paraId="003FA4FA" w14:textId="335A7965" w:rsidR="004B49A6" w:rsidRPr="00372AC4" w:rsidRDefault="004B49A6" w:rsidP="00217F0E">
      <w:pPr>
        <w:rPr>
          <w:szCs w:val="24"/>
        </w:rPr>
      </w:pPr>
      <w:r w:rsidRPr="00372AC4">
        <w:rPr>
          <w:szCs w:val="24"/>
        </w:rPr>
        <w:t>This study includes 5</w:t>
      </w:r>
      <w:r w:rsidR="004031AA">
        <w:rPr>
          <w:szCs w:val="24"/>
        </w:rPr>
        <w:t>0</w:t>
      </w:r>
      <w:r w:rsidRPr="00372AC4">
        <w:rPr>
          <w:szCs w:val="24"/>
        </w:rPr>
        <w:t xml:space="preserve"> different hydro scenarios that are matched with the 5</w:t>
      </w:r>
      <w:r w:rsidR="004031AA">
        <w:rPr>
          <w:szCs w:val="24"/>
        </w:rPr>
        <w:t>0</w:t>
      </w:r>
      <w:r w:rsidRPr="00372AC4">
        <w:rPr>
          <w:szCs w:val="24"/>
        </w:rPr>
        <w:t xml:space="preserve"> weather scenarios. The 5</w:t>
      </w:r>
      <w:r w:rsidR="004031AA">
        <w:rPr>
          <w:szCs w:val="24"/>
        </w:rPr>
        <w:t>0</w:t>
      </w:r>
      <w:r w:rsidRPr="00372AC4">
        <w:rPr>
          <w:szCs w:val="24"/>
        </w:rPr>
        <w:t xml:space="preserve"> scenarios chosen are based on the past 5</w:t>
      </w:r>
      <w:r w:rsidR="004031AA">
        <w:rPr>
          <w:szCs w:val="24"/>
        </w:rPr>
        <w:t>0</w:t>
      </w:r>
      <w:r w:rsidRPr="00372AC4">
        <w:rPr>
          <w:szCs w:val="24"/>
        </w:rPr>
        <w:t xml:space="preserve"> years (19</w:t>
      </w:r>
      <w:r w:rsidR="004031AA">
        <w:rPr>
          <w:szCs w:val="24"/>
        </w:rPr>
        <w:t>73</w:t>
      </w:r>
      <w:r w:rsidRPr="00372AC4">
        <w:rPr>
          <w:szCs w:val="24"/>
        </w:rPr>
        <w:t>-20</w:t>
      </w:r>
      <w:r w:rsidR="004031AA">
        <w:rPr>
          <w:szCs w:val="24"/>
        </w:rPr>
        <w:t>22</w:t>
      </w:r>
      <w:r w:rsidRPr="00372AC4">
        <w:rPr>
          <w:szCs w:val="24"/>
        </w:rPr>
        <w:t xml:space="preserve">) of weather and hydro data. For each of the scenarios, scheduled hydro capacity </w:t>
      </w:r>
      <w:r>
        <w:rPr>
          <w:szCs w:val="24"/>
        </w:rPr>
        <w:t>is</w:t>
      </w:r>
      <w:r w:rsidRPr="00372AC4">
        <w:rPr>
          <w:szCs w:val="24"/>
        </w:rPr>
        <w:t xml:space="preserve"> modeled based on actual history.</w:t>
      </w:r>
    </w:p>
    <w:p w14:paraId="24A8CB69" w14:textId="77777777" w:rsidR="004B49A6" w:rsidRPr="00372AC4" w:rsidRDefault="004B49A6" w:rsidP="00217F0E">
      <w:pPr>
        <w:rPr>
          <w:szCs w:val="24"/>
        </w:rPr>
      </w:pPr>
    </w:p>
    <w:p w14:paraId="7A9044A6" w14:textId="72262D41" w:rsidR="004B49A6" w:rsidRPr="00372AC4" w:rsidRDefault="004B49A6" w:rsidP="00DE320E">
      <w:pPr>
        <w:rPr>
          <w:szCs w:val="24"/>
        </w:rPr>
      </w:pPr>
      <w:r w:rsidRPr="00372AC4">
        <w:rPr>
          <w:szCs w:val="24"/>
        </w:rPr>
        <w:t xml:space="preserve">The optimal dispatch of hydro resources is not </w:t>
      </w:r>
      <w:r>
        <w:rPr>
          <w:szCs w:val="24"/>
        </w:rPr>
        <w:t>solely</w:t>
      </w:r>
      <w:r w:rsidRPr="00372AC4">
        <w:rPr>
          <w:szCs w:val="24"/>
        </w:rPr>
        <w:t xml:space="preserve"> an economic decision. Planners must </w:t>
      </w:r>
      <w:r w:rsidR="00E41771" w:rsidRPr="00372AC4">
        <w:rPr>
          <w:szCs w:val="24"/>
        </w:rPr>
        <w:t>consider</w:t>
      </w:r>
      <w:r w:rsidRPr="00372AC4">
        <w:rPr>
          <w:szCs w:val="24"/>
        </w:rPr>
        <w:t xml:space="preserve"> river flow requirements and impacts on other reservoirs in the same river system. During drought conditions, it is rare that the full capacity of all hydro resources would be dispatched at the same time. The total hydro capacity that is not used </w:t>
      </w:r>
      <w:r>
        <w:rPr>
          <w:szCs w:val="24"/>
        </w:rPr>
        <w:t>as part of the daily schedule</w:t>
      </w:r>
      <w:r w:rsidRPr="00372AC4">
        <w:rPr>
          <w:szCs w:val="24"/>
        </w:rPr>
        <w:t xml:space="preserve"> would be available as emergency hydro. Only in cases of extreme need is the emergency hydro capacity called upon to operate. Also, the emergency hydro block is only available for a small number of events per year. </w:t>
      </w:r>
      <w:r>
        <w:rPr>
          <w:szCs w:val="24"/>
        </w:rPr>
        <w:t>To model this within SERVM, t</w:t>
      </w:r>
      <w:r w:rsidRPr="00372AC4">
        <w:rPr>
          <w:szCs w:val="24"/>
        </w:rPr>
        <w:t xml:space="preserve">he emergency hydro block is tied to a flex energy account to reflect </w:t>
      </w:r>
      <w:r w:rsidR="00981A2F">
        <w:rPr>
          <w:szCs w:val="24"/>
        </w:rPr>
        <w:t>the limited availability of this emergency hydro energy</w:t>
      </w:r>
      <w:r w:rsidRPr="00372AC4">
        <w:rPr>
          <w:szCs w:val="24"/>
        </w:rPr>
        <w:t xml:space="preserve">. If the emergency </w:t>
      </w:r>
      <w:r w:rsidR="00F2211E">
        <w:rPr>
          <w:szCs w:val="24"/>
        </w:rPr>
        <w:t xml:space="preserve">hydro </w:t>
      </w:r>
      <w:r w:rsidRPr="00372AC4">
        <w:rPr>
          <w:szCs w:val="24"/>
        </w:rPr>
        <w:t>capacity is needed to meet load during emergencies, the model will pull energy from this account. If the energy account become</w:t>
      </w:r>
      <w:r>
        <w:rPr>
          <w:szCs w:val="24"/>
        </w:rPr>
        <w:t>s</w:t>
      </w:r>
      <w:r w:rsidRPr="00372AC4">
        <w:rPr>
          <w:szCs w:val="24"/>
        </w:rPr>
        <w:t xml:space="preserve"> depleted</w:t>
      </w:r>
      <w:r>
        <w:rPr>
          <w:szCs w:val="24"/>
        </w:rPr>
        <w:t>,</w:t>
      </w:r>
      <w:r w:rsidRPr="00372AC4">
        <w:rPr>
          <w:szCs w:val="24"/>
        </w:rPr>
        <w:t xml:space="preserve"> the capacity </w:t>
      </w:r>
      <w:r>
        <w:rPr>
          <w:szCs w:val="24"/>
        </w:rPr>
        <w:t>will</w:t>
      </w:r>
      <w:r w:rsidRPr="00372AC4">
        <w:rPr>
          <w:szCs w:val="24"/>
        </w:rPr>
        <w:t xml:space="preserve"> not be available during </w:t>
      </w:r>
      <w:r>
        <w:rPr>
          <w:szCs w:val="24"/>
        </w:rPr>
        <w:t xml:space="preserve">subsequent </w:t>
      </w:r>
      <w:r w:rsidRPr="00372AC4">
        <w:rPr>
          <w:szCs w:val="24"/>
        </w:rPr>
        <w:t>emergencies.</w:t>
      </w:r>
      <w:r w:rsidR="00A648A6">
        <w:rPr>
          <w:szCs w:val="24"/>
        </w:rPr>
        <w:t xml:space="preserve">  </w:t>
      </w:r>
    </w:p>
    <w:p w14:paraId="0BA683CD" w14:textId="77777777" w:rsidR="004B49A6" w:rsidRPr="00372AC4" w:rsidRDefault="004B49A6" w:rsidP="00217F0E">
      <w:pPr>
        <w:rPr>
          <w:szCs w:val="24"/>
        </w:rPr>
      </w:pPr>
    </w:p>
    <w:p w14:paraId="0E1B0DBE" w14:textId="3219FF6B" w:rsidR="00621BF1" w:rsidRPr="00372AC4" w:rsidRDefault="00621BF1" w:rsidP="00621BF1">
      <w:pPr>
        <w:rPr>
          <w:szCs w:val="24"/>
        </w:rPr>
      </w:pPr>
      <w:r>
        <w:rPr>
          <w:szCs w:val="24"/>
        </w:rPr>
        <w:fldChar w:fldCharType="begin"/>
      </w:r>
      <w:r>
        <w:rPr>
          <w:szCs w:val="24"/>
        </w:rPr>
        <w:instrText xml:space="preserve"> REF _Ref513785806 \h </w:instrText>
      </w:r>
      <w:r>
        <w:rPr>
          <w:szCs w:val="24"/>
        </w:rPr>
      </w:r>
      <w:r>
        <w:rPr>
          <w:szCs w:val="24"/>
        </w:rPr>
        <w:fldChar w:fldCharType="separate"/>
      </w:r>
      <w:r w:rsidR="004031AA">
        <w:t xml:space="preserve">Figure </w:t>
      </w:r>
      <w:r w:rsidR="004031AA">
        <w:rPr>
          <w:noProof/>
        </w:rPr>
        <w:t>I</w:t>
      </w:r>
      <w:r w:rsidR="004031AA">
        <w:t>.</w:t>
      </w:r>
      <w:r w:rsidR="004031AA">
        <w:rPr>
          <w:noProof/>
        </w:rPr>
        <w:t>13</w:t>
      </w:r>
      <w:r>
        <w:rPr>
          <w:szCs w:val="24"/>
        </w:rPr>
        <w:fldChar w:fldCharType="end"/>
      </w:r>
      <w:r w:rsidR="00496713">
        <w:rPr>
          <w:szCs w:val="24"/>
        </w:rPr>
        <w:t xml:space="preserve"> below</w:t>
      </w:r>
      <w:r w:rsidR="004B49A6" w:rsidRPr="00372AC4">
        <w:rPr>
          <w:szCs w:val="24"/>
        </w:rPr>
        <w:t xml:space="preserve"> depicts </w:t>
      </w:r>
      <w:r w:rsidR="004B49A6">
        <w:rPr>
          <w:szCs w:val="24"/>
        </w:rPr>
        <w:t>the</w:t>
      </w:r>
      <w:r w:rsidR="006A04BB">
        <w:rPr>
          <w:szCs w:val="24"/>
        </w:rPr>
        <w:t xml:space="preserve"> average</w:t>
      </w:r>
      <w:r w:rsidR="004B49A6">
        <w:rPr>
          <w:szCs w:val="24"/>
        </w:rPr>
        <w:t xml:space="preserve"> monthly energy produced by </w:t>
      </w:r>
      <w:r w:rsidR="004B49A6" w:rsidRPr="00372AC4">
        <w:rPr>
          <w:szCs w:val="24"/>
        </w:rPr>
        <w:t xml:space="preserve">the </w:t>
      </w:r>
      <w:r w:rsidR="00DC37DF">
        <w:rPr>
          <w:szCs w:val="24"/>
        </w:rPr>
        <w:t>two</w:t>
      </w:r>
      <w:r w:rsidR="004B49A6" w:rsidRPr="00372AC4">
        <w:rPr>
          <w:szCs w:val="24"/>
        </w:rPr>
        <w:t xml:space="preserve"> components of System-owned hydro generation. The figure illustrates </w:t>
      </w:r>
      <w:r w:rsidR="004B49A6">
        <w:rPr>
          <w:szCs w:val="24"/>
        </w:rPr>
        <w:t>the typical distribution of available hydro energy across the months of the year</w:t>
      </w:r>
      <w:r w:rsidR="004B49A6" w:rsidRPr="00372AC4">
        <w:rPr>
          <w:szCs w:val="24"/>
        </w:rPr>
        <w:t>.</w:t>
      </w:r>
      <w:r w:rsidR="00A648A6">
        <w:rPr>
          <w:szCs w:val="24"/>
        </w:rPr>
        <w:t xml:space="preserve"> </w:t>
      </w:r>
    </w:p>
    <w:p w14:paraId="541FD4EC" w14:textId="77777777" w:rsidR="004B49A6" w:rsidRPr="00124600" w:rsidRDefault="004B49A6" w:rsidP="00217F0E">
      <w:bookmarkStart w:id="182" w:name="_Toc226257752"/>
      <w:bookmarkStart w:id="183" w:name="_Toc340755565"/>
    </w:p>
    <w:bookmarkEnd w:id="182"/>
    <w:bookmarkEnd w:id="183"/>
    <w:p w14:paraId="64383F8B" w14:textId="2B4D1663" w:rsidR="0053151C" w:rsidRDefault="0069697C" w:rsidP="0053151C">
      <w:pPr>
        <w:keepNext/>
      </w:pPr>
      <w:r>
        <w:rPr>
          <w:noProof/>
        </w:rPr>
        <w:drawing>
          <wp:inline distT="0" distB="0" distL="0" distR="0" wp14:anchorId="3383F69D" wp14:editId="7B629251">
            <wp:extent cx="5905500" cy="4285943"/>
            <wp:effectExtent l="0" t="0" r="0" b="635"/>
            <wp:docPr id="141069280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20633" cy="4296926"/>
                    </a:xfrm>
                    <a:prstGeom prst="rect">
                      <a:avLst/>
                    </a:prstGeom>
                    <a:noFill/>
                  </pic:spPr>
                </pic:pic>
              </a:graphicData>
            </a:graphic>
          </wp:inline>
        </w:drawing>
      </w:r>
    </w:p>
    <w:p w14:paraId="5CEAA138" w14:textId="6BBB2518" w:rsidR="004B49A6" w:rsidRDefault="0053151C" w:rsidP="0053151C">
      <w:pPr>
        <w:pStyle w:val="Caption"/>
        <w:jc w:val="both"/>
      </w:pPr>
      <w:bookmarkStart w:id="184" w:name="_Ref513785806"/>
      <w:bookmarkStart w:id="185" w:name="_Toc513710589"/>
      <w:bookmarkStart w:id="186" w:name="_Toc187234673"/>
      <w:r>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13</w:t>
      </w:r>
      <w:r w:rsidR="00F262E6">
        <w:fldChar w:fldCharType="end"/>
      </w:r>
      <w:bookmarkEnd w:id="184"/>
      <w:r>
        <w:t xml:space="preserve">. </w:t>
      </w:r>
      <w:r w:rsidR="007F691D">
        <w:t xml:space="preserve">Average </w:t>
      </w:r>
      <w:r>
        <w:t>Hydro Energy Availability</w:t>
      </w:r>
      <w:bookmarkEnd w:id="185"/>
      <w:bookmarkEnd w:id="186"/>
    </w:p>
    <w:p w14:paraId="3037C680" w14:textId="77777777" w:rsidR="00621BF1" w:rsidRDefault="00621BF1" w:rsidP="00621BF1">
      <w:pPr>
        <w:rPr>
          <w:szCs w:val="24"/>
        </w:rPr>
      </w:pPr>
    </w:p>
    <w:p w14:paraId="66C6D837" w14:textId="062950F1" w:rsidR="00621BF1" w:rsidRPr="00372AC4" w:rsidRDefault="00496713" w:rsidP="00621BF1">
      <w:r w:rsidRPr="458F86C6">
        <w:t>T</w:t>
      </w:r>
      <w:r w:rsidR="00621BF1" w:rsidRPr="458F86C6">
        <w:t>he availability of hydro energy can vary year to year</w:t>
      </w:r>
      <w:r w:rsidRPr="458F86C6">
        <w:t xml:space="preserve"> for reasons largely attributed to weather</w:t>
      </w:r>
      <w:r w:rsidR="00621BF1">
        <w:rPr>
          <w:szCs w:val="24"/>
        </w:rPr>
        <w:t>.</w:t>
      </w:r>
      <w:r w:rsidR="00621BF1" w:rsidRPr="00372AC4">
        <w:rPr>
          <w:szCs w:val="24"/>
        </w:rPr>
        <w:t xml:space="preserve"> </w:t>
      </w:r>
      <w:r w:rsidR="00621BF1">
        <w:rPr>
          <w:szCs w:val="24"/>
        </w:rPr>
        <w:fldChar w:fldCharType="begin"/>
      </w:r>
      <w:r w:rsidR="00621BF1">
        <w:rPr>
          <w:szCs w:val="24"/>
        </w:rPr>
        <w:instrText xml:space="preserve"> REF _Ref513785839 \h </w:instrText>
      </w:r>
      <w:r w:rsidR="00621BF1">
        <w:rPr>
          <w:szCs w:val="24"/>
        </w:rPr>
      </w:r>
      <w:r w:rsidR="00621BF1">
        <w:rPr>
          <w:szCs w:val="24"/>
        </w:rPr>
        <w:fldChar w:fldCharType="separate"/>
      </w:r>
      <w:r w:rsidR="0069697C">
        <w:t xml:space="preserve">Figure </w:t>
      </w:r>
      <w:r w:rsidR="0069697C">
        <w:rPr>
          <w:noProof/>
        </w:rPr>
        <w:t>I</w:t>
      </w:r>
      <w:r w:rsidR="0069697C">
        <w:t>.</w:t>
      </w:r>
      <w:r w:rsidR="0069697C">
        <w:rPr>
          <w:noProof/>
        </w:rPr>
        <w:t>14</w:t>
      </w:r>
      <w:r w:rsidR="00621BF1">
        <w:rPr>
          <w:szCs w:val="24"/>
        </w:rPr>
        <w:fldChar w:fldCharType="end"/>
      </w:r>
      <w:r w:rsidR="00621BF1" w:rsidRPr="00372AC4">
        <w:rPr>
          <w:szCs w:val="24"/>
        </w:rPr>
        <w:t xml:space="preserve"> </w:t>
      </w:r>
      <w:r w:rsidR="00621BF1" w:rsidRPr="458F86C6">
        <w:t>below illustrates the total available scheduled hydro energies from the past 5</w:t>
      </w:r>
      <w:r w:rsidR="004031AA" w:rsidRPr="458F86C6">
        <w:t>0</w:t>
      </w:r>
      <w:r w:rsidR="00621BF1" w:rsidRPr="458F86C6">
        <w:t xml:space="preserve"> weather years (19</w:t>
      </w:r>
      <w:r w:rsidR="004031AA" w:rsidRPr="458F86C6">
        <w:t>73</w:t>
      </w:r>
      <w:r w:rsidR="00621BF1" w:rsidRPr="458F86C6">
        <w:t>-20</w:t>
      </w:r>
      <w:r w:rsidR="004031AA" w:rsidRPr="458F86C6">
        <w:t>22</w:t>
      </w:r>
      <w:r w:rsidR="00621BF1" w:rsidRPr="00372AC4">
        <w:rPr>
          <w:szCs w:val="24"/>
        </w:rPr>
        <w:t>).</w:t>
      </w:r>
      <w:r w:rsidR="00A648A6">
        <w:rPr>
          <w:szCs w:val="24"/>
        </w:rPr>
        <w:t xml:space="preserve"> </w:t>
      </w:r>
    </w:p>
    <w:p w14:paraId="7561AD43" w14:textId="77777777" w:rsidR="00621BF1" w:rsidRPr="00621BF1" w:rsidRDefault="00621BF1" w:rsidP="00621BF1"/>
    <w:p w14:paraId="3F40EA23" w14:textId="69AF02BC" w:rsidR="0053151C" w:rsidRDefault="0069697C" w:rsidP="0053151C">
      <w:pPr>
        <w:keepNext/>
      </w:pPr>
      <w:bookmarkStart w:id="187" w:name="_Toc222110681"/>
      <w:r>
        <w:rPr>
          <w:noProof/>
        </w:rPr>
        <w:drawing>
          <wp:inline distT="0" distB="0" distL="0" distR="0" wp14:anchorId="15B0B013" wp14:editId="0577A70D">
            <wp:extent cx="5905925" cy="4286250"/>
            <wp:effectExtent l="0" t="0" r="0" b="0"/>
            <wp:docPr id="2714525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19312" cy="4295966"/>
                    </a:xfrm>
                    <a:prstGeom prst="rect">
                      <a:avLst/>
                    </a:prstGeom>
                    <a:noFill/>
                  </pic:spPr>
                </pic:pic>
              </a:graphicData>
            </a:graphic>
          </wp:inline>
        </w:drawing>
      </w:r>
    </w:p>
    <w:p w14:paraId="386311DD" w14:textId="531C5B7D" w:rsidR="004B49A6" w:rsidRPr="00C627E2" w:rsidRDefault="0053151C" w:rsidP="0053151C">
      <w:pPr>
        <w:pStyle w:val="Caption"/>
        <w:jc w:val="both"/>
        <w:rPr>
          <w:szCs w:val="24"/>
        </w:rPr>
      </w:pPr>
      <w:bookmarkStart w:id="188" w:name="_Ref513785839"/>
      <w:bookmarkStart w:id="189" w:name="_Toc513710590"/>
      <w:bookmarkStart w:id="190" w:name="_Toc187234674"/>
      <w:r>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14</w:t>
      </w:r>
      <w:r w:rsidR="00F262E6">
        <w:fldChar w:fldCharType="end"/>
      </w:r>
      <w:bookmarkEnd w:id="188"/>
      <w:r>
        <w:t>. Annual Scheduled Hydro Energies</w:t>
      </w:r>
      <w:bookmarkEnd w:id="189"/>
      <w:bookmarkEnd w:id="190"/>
    </w:p>
    <w:p w14:paraId="4BB11A42" w14:textId="77777777" w:rsidR="004B49A6" w:rsidRPr="00124600" w:rsidRDefault="004B49A6" w:rsidP="00217F0E"/>
    <w:p w14:paraId="6449410C" w14:textId="77777777" w:rsidR="004B49A6" w:rsidRPr="00421157" w:rsidRDefault="004B49A6" w:rsidP="00C56A27">
      <w:pPr>
        <w:pStyle w:val="Heading2"/>
        <w:numPr>
          <w:ilvl w:val="1"/>
          <w:numId w:val="13"/>
        </w:numPr>
        <w:ind w:left="360"/>
      </w:pPr>
      <w:bookmarkStart w:id="191" w:name="_Toc440262205"/>
      <w:bookmarkStart w:id="192" w:name="_Toc440447877"/>
      <w:bookmarkStart w:id="193" w:name="_Toc440457926"/>
      <w:bookmarkStart w:id="194" w:name="_Toc513710340"/>
      <w:bookmarkStart w:id="195" w:name="_Toc187234601"/>
      <w:r w:rsidRPr="004A4FD8">
        <w:t>SEPA Conventional Hydro</w:t>
      </w:r>
      <w:bookmarkEnd w:id="187"/>
      <w:bookmarkEnd w:id="191"/>
      <w:bookmarkEnd w:id="192"/>
      <w:bookmarkEnd w:id="193"/>
      <w:bookmarkEnd w:id="194"/>
      <w:bookmarkEnd w:id="195"/>
      <w:r w:rsidRPr="00DB641B">
        <w:t xml:space="preserve"> </w:t>
      </w:r>
    </w:p>
    <w:p w14:paraId="695158DA" w14:textId="46073686" w:rsidR="004B49A6" w:rsidRPr="00372AC4" w:rsidRDefault="004B49A6" w:rsidP="00217F0E">
      <w:pPr>
        <w:rPr>
          <w:szCs w:val="24"/>
        </w:rPr>
      </w:pPr>
      <w:r w:rsidRPr="00B138F0">
        <w:rPr>
          <w:szCs w:val="24"/>
        </w:rPr>
        <w:t xml:space="preserve">The </w:t>
      </w:r>
      <w:r w:rsidRPr="00372AC4">
        <w:rPr>
          <w:szCs w:val="24"/>
        </w:rPr>
        <w:t>Southeastern Power Administration (</w:t>
      </w:r>
      <w:r w:rsidR="008E2FDE">
        <w:rPr>
          <w:szCs w:val="24"/>
        </w:rPr>
        <w:t>“</w:t>
      </w:r>
      <w:r w:rsidRPr="00372AC4">
        <w:rPr>
          <w:szCs w:val="24"/>
        </w:rPr>
        <w:t>SEPA</w:t>
      </w:r>
      <w:r w:rsidR="008E2FDE">
        <w:rPr>
          <w:szCs w:val="24"/>
        </w:rPr>
        <w:t>”</w:t>
      </w:r>
      <w:r w:rsidRPr="00372AC4">
        <w:rPr>
          <w:szCs w:val="24"/>
        </w:rPr>
        <w:t xml:space="preserve">) conventional hydro is less flexible in its operation than the System-owned hydro. The System has a contractual right to </w:t>
      </w:r>
      <w:r w:rsidR="00F75282">
        <w:rPr>
          <w:szCs w:val="24"/>
        </w:rPr>
        <w:t xml:space="preserve">an allocation of the SEPA hydro capacity. </w:t>
      </w:r>
      <w:r w:rsidR="00CD14BC">
        <w:rPr>
          <w:szCs w:val="24"/>
        </w:rPr>
        <w:t xml:space="preserve">Within SERVM, SEPA conventional hydro </w:t>
      </w:r>
      <w:r w:rsidR="00CD14BC" w:rsidRPr="00372AC4">
        <w:rPr>
          <w:szCs w:val="24"/>
        </w:rPr>
        <w:t xml:space="preserve">is modeled as </w:t>
      </w:r>
      <w:r w:rsidR="005562EE">
        <w:rPr>
          <w:szCs w:val="24"/>
        </w:rPr>
        <w:t>several</w:t>
      </w:r>
      <w:r w:rsidR="00CD14BC" w:rsidRPr="00372AC4">
        <w:rPr>
          <w:szCs w:val="24"/>
        </w:rPr>
        <w:t xml:space="preserve"> hydro unit</w:t>
      </w:r>
      <w:r w:rsidR="005562EE">
        <w:rPr>
          <w:szCs w:val="24"/>
        </w:rPr>
        <w:t>s</w:t>
      </w:r>
      <w:r w:rsidR="00CD14BC" w:rsidRPr="00372AC4">
        <w:rPr>
          <w:szCs w:val="24"/>
        </w:rPr>
        <w:t xml:space="preserve"> with minimum daily dispatches. </w:t>
      </w:r>
      <w:r w:rsidR="00CD14BC">
        <w:rPr>
          <w:szCs w:val="24"/>
        </w:rPr>
        <w:t xml:space="preserve">As currently modeled, </w:t>
      </w:r>
      <w:r w:rsidR="00F75282">
        <w:rPr>
          <w:szCs w:val="24"/>
        </w:rPr>
        <w:t xml:space="preserve">the System is entitled to </w:t>
      </w:r>
      <w:r w:rsidR="00BF51C4">
        <w:rPr>
          <w:szCs w:val="24"/>
        </w:rPr>
        <w:t>579</w:t>
      </w:r>
      <w:r w:rsidR="00CD14BC">
        <w:rPr>
          <w:szCs w:val="24"/>
        </w:rPr>
        <w:t xml:space="preserve"> </w:t>
      </w:r>
      <w:r w:rsidRPr="00372AC4">
        <w:rPr>
          <w:szCs w:val="24"/>
        </w:rPr>
        <w:t xml:space="preserve">MW </w:t>
      </w:r>
      <w:r w:rsidR="00BF51C4">
        <w:rPr>
          <w:szCs w:val="24"/>
        </w:rPr>
        <w:t>with an average minimum daily schedule of 1,400 MW</w:t>
      </w:r>
      <w:r w:rsidR="004341FD">
        <w:rPr>
          <w:szCs w:val="24"/>
        </w:rPr>
        <w:t>h</w:t>
      </w:r>
      <w:r w:rsidR="00BF51C4">
        <w:rPr>
          <w:szCs w:val="24"/>
        </w:rPr>
        <w:t xml:space="preserve"> per day</w:t>
      </w:r>
      <w:r w:rsidR="00CD14BC">
        <w:rPr>
          <w:szCs w:val="24"/>
        </w:rPr>
        <w:t xml:space="preserve"> and a</w:t>
      </w:r>
      <w:r w:rsidR="005562EE">
        <w:rPr>
          <w:szCs w:val="24"/>
        </w:rPr>
        <w:t>n</w:t>
      </w:r>
      <w:r w:rsidR="00CD14BC">
        <w:rPr>
          <w:szCs w:val="24"/>
        </w:rPr>
        <w:t xml:space="preserve"> </w:t>
      </w:r>
      <w:r w:rsidR="005562EE">
        <w:rPr>
          <w:szCs w:val="24"/>
        </w:rPr>
        <w:t>average yearly</w:t>
      </w:r>
      <w:r w:rsidR="00CD14BC">
        <w:rPr>
          <w:szCs w:val="24"/>
        </w:rPr>
        <w:t xml:space="preserve"> energy allocation of </w:t>
      </w:r>
      <w:r w:rsidR="005562EE">
        <w:rPr>
          <w:szCs w:val="24"/>
        </w:rPr>
        <w:t>85</w:t>
      </w:r>
      <w:r w:rsidR="00CD14BC">
        <w:rPr>
          <w:szCs w:val="24"/>
        </w:rPr>
        <w:t xml:space="preserve"> GWh. </w:t>
      </w:r>
    </w:p>
    <w:p w14:paraId="70CA87D2" w14:textId="77777777" w:rsidR="004B49A6" w:rsidRDefault="004B49A6" w:rsidP="00217F0E">
      <w:pPr>
        <w:rPr>
          <w:szCs w:val="24"/>
        </w:rPr>
      </w:pPr>
    </w:p>
    <w:p w14:paraId="6172EE58" w14:textId="77777777" w:rsidR="004B49A6" w:rsidRPr="00421157" w:rsidRDefault="004B49A6" w:rsidP="00C56A27">
      <w:pPr>
        <w:pStyle w:val="Heading2"/>
        <w:numPr>
          <w:ilvl w:val="1"/>
          <w:numId w:val="13"/>
        </w:numPr>
        <w:ind w:left="360"/>
      </w:pPr>
      <w:bookmarkStart w:id="196" w:name="_Toc222110682"/>
      <w:bookmarkStart w:id="197" w:name="_Toc440262206"/>
      <w:bookmarkStart w:id="198" w:name="_Toc440447878"/>
      <w:bookmarkStart w:id="199" w:name="_Toc440457927"/>
      <w:bookmarkStart w:id="200" w:name="_Toc513710341"/>
      <w:bookmarkStart w:id="201" w:name="_Toc187234602"/>
      <w:r w:rsidRPr="004A4FD8">
        <w:t>Pumped Storage Hydro</w:t>
      </w:r>
      <w:bookmarkEnd w:id="196"/>
      <w:bookmarkEnd w:id="197"/>
      <w:bookmarkEnd w:id="198"/>
      <w:bookmarkEnd w:id="199"/>
      <w:bookmarkEnd w:id="200"/>
      <w:bookmarkEnd w:id="201"/>
      <w:r w:rsidRPr="004A4FD8">
        <w:t xml:space="preserve"> </w:t>
      </w:r>
    </w:p>
    <w:p w14:paraId="112E91B8" w14:textId="038DF4BF" w:rsidR="004B49A6" w:rsidRPr="00372AC4" w:rsidRDefault="004B49A6" w:rsidP="00DB641B">
      <w:pPr>
        <w:rPr>
          <w:szCs w:val="24"/>
        </w:rPr>
      </w:pPr>
      <w:r w:rsidRPr="00B138F0">
        <w:rPr>
          <w:szCs w:val="24"/>
        </w:rPr>
        <w:t>Pumped storage hydro is a resource that is designed to pump water to a</w:t>
      </w:r>
      <w:r w:rsidR="00DC37DF">
        <w:rPr>
          <w:szCs w:val="24"/>
        </w:rPr>
        <w:t>n elevated reservoir</w:t>
      </w:r>
      <w:r w:rsidRPr="00B138F0">
        <w:rPr>
          <w:szCs w:val="24"/>
        </w:rPr>
        <w:t xml:space="preserve"> u</w:t>
      </w:r>
      <w:r w:rsidRPr="00372AC4">
        <w:rPr>
          <w:szCs w:val="24"/>
        </w:rPr>
        <w:t xml:space="preserve">sing energy at off-peak periods when prices are low, and to generate electricity by releasing that water at times when prices are high. The dispatch of pumped storage is not simply a reliability decision, although the </w:t>
      </w:r>
      <w:r w:rsidR="00DC37DF">
        <w:rPr>
          <w:szCs w:val="24"/>
        </w:rPr>
        <w:t>reservoir</w:t>
      </w:r>
      <w:r w:rsidRPr="00372AC4">
        <w:rPr>
          <w:szCs w:val="24"/>
        </w:rPr>
        <w:t xml:space="preserve"> should always be kept at a level where energy will be available for emergency conditions. </w:t>
      </w:r>
      <w:r>
        <w:rPr>
          <w:szCs w:val="24"/>
        </w:rPr>
        <w:t>The System</w:t>
      </w:r>
      <w:r w:rsidRPr="00372AC4">
        <w:rPr>
          <w:szCs w:val="24"/>
        </w:rPr>
        <w:t xml:space="preserve"> has a total of </w:t>
      </w:r>
      <w:r w:rsidR="005562EE">
        <w:rPr>
          <w:szCs w:val="24"/>
        </w:rPr>
        <w:t>493</w:t>
      </w:r>
      <w:r w:rsidRPr="00372AC4">
        <w:rPr>
          <w:szCs w:val="24"/>
        </w:rPr>
        <w:t xml:space="preserve"> MW of pumped storage resources spread across two different locations (Wallace Dam and Rocky Mountain Pumped Storage Facility). The Rocky Mountain Pumped Storage Facility is co-owned with </w:t>
      </w:r>
      <w:r>
        <w:rPr>
          <w:szCs w:val="24"/>
        </w:rPr>
        <w:t>Oglethorpe Power Corporation (</w:t>
      </w:r>
      <w:r w:rsidR="008E2FDE">
        <w:rPr>
          <w:szCs w:val="24"/>
        </w:rPr>
        <w:t>“</w:t>
      </w:r>
      <w:r w:rsidRPr="00372AC4">
        <w:rPr>
          <w:szCs w:val="24"/>
        </w:rPr>
        <w:t>OP</w:t>
      </w:r>
      <w:r>
        <w:rPr>
          <w:szCs w:val="24"/>
        </w:rPr>
        <w:t>C</w:t>
      </w:r>
      <w:r w:rsidR="008E2FDE">
        <w:rPr>
          <w:szCs w:val="24"/>
        </w:rPr>
        <w:t>”</w:t>
      </w:r>
      <w:r>
        <w:rPr>
          <w:szCs w:val="24"/>
        </w:rPr>
        <w:t>)</w:t>
      </w:r>
      <w:r w:rsidRPr="00372AC4">
        <w:rPr>
          <w:szCs w:val="24"/>
        </w:rPr>
        <w:t xml:space="preserve">. </w:t>
      </w:r>
    </w:p>
    <w:p w14:paraId="4298FAF6" w14:textId="77777777" w:rsidR="004B49A6" w:rsidRPr="00372AC4" w:rsidRDefault="004B49A6" w:rsidP="00217F0E">
      <w:pPr>
        <w:rPr>
          <w:szCs w:val="24"/>
        </w:rPr>
      </w:pPr>
    </w:p>
    <w:p w14:paraId="5B8005AC" w14:textId="6755797F" w:rsidR="0099301E" w:rsidRDefault="0099301E" w:rsidP="00C56A27">
      <w:pPr>
        <w:pStyle w:val="Heading2"/>
        <w:numPr>
          <w:ilvl w:val="1"/>
          <w:numId w:val="13"/>
        </w:numPr>
        <w:ind w:left="360"/>
      </w:pPr>
      <w:bookmarkStart w:id="202" w:name="_Toc187234603"/>
      <w:bookmarkStart w:id="203" w:name="_Toc222110683"/>
      <w:bookmarkStart w:id="204" w:name="_Toc440262207"/>
      <w:bookmarkStart w:id="205" w:name="_Toc440447879"/>
      <w:bookmarkStart w:id="206" w:name="_Toc440457928"/>
      <w:bookmarkStart w:id="207" w:name="_Toc513710342"/>
      <w:r>
        <w:t>Battery Energy Storage</w:t>
      </w:r>
      <w:bookmarkEnd w:id="202"/>
    </w:p>
    <w:p w14:paraId="15FF7BFF" w14:textId="528291E9" w:rsidR="0099301E" w:rsidRDefault="0099301E" w:rsidP="0099301E">
      <w:r>
        <w:t>Total battery energy storage capacity</w:t>
      </w:r>
      <w:r w:rsidR="003542A6">
        <w:t xml:space="preserve"> modeled on the System</w:t>
      </w:r>
      <w:r>
        <w:t xml:space="preserve"> is 80</w:t>
      </w:r>
      <w:r w:rsidR="00E61ADF">
        <w:t>9</w:t>
      </w:r>
      <w:r>
        <w:t xml:space="preserve"> MW. Of this, </w:t>
      </w:r>
      <w:r w:rsidR="00E61ADF">
        <w:t>631 MW is stand-alone</w:t>
      </w:r>
      <w:r w:rsidR="00CF42D7">
        <w:t xml:space="preserve"> and</w:t>
      </w:r>
      <w:r w:rsidR="00E61ADF">
        <w:t xml:space="preserve"> 178 MW is paired with solar</w:t>
      </w:r>
      <w:r w:rsidR="00CF42D7">
        <w:t>;</w:t>
      </w:r>
      <w:r w:rsidR="00E61ADF">
        <w:t xml:space="preserve"> 265 MW has a 2-hour </w:t>
      </w:r>
      <w:r w:rsidR="003A3681">
        <w:t>duration,</w:t>
      </w:r>
      <w:r w:rsidR="00E61ADF">
        <w:t xml:space="preserve"> and 544 MW has a 4-hour duration. All batteries except one representing less than </w:t>
      </w:r>
      <w:r w:rsidR="004F4B25">
        <w:t>1</w:t>
      </w:r>
      <w:r w:rsidR="00E61ADF">
        <w:t>% of total</w:t>
      </w:r>
      <w:r w:rsidR="004F4B25">
        <w:t xml:space="preserve"> System</w:t>
      </w:r>
      <w:r w:rsidR="00E61ADF">
        <w:t xml:space="preserve"> </w:t>
      </w:r>
      <w:r w:rsidR="004F4B25">
        <w:t xml:space="preserve">battery </w:t>
      </w:r>
      <w:r w:rsidR="00E61ADF">
        <w:t xml:space="preserve">capacity were configured </w:t>
      </w:r>
      <w:r w:rsidR="004F4B25">
        <w:t>to</w:t>
      </w:r>
      <w:r w:rsidR="00E61ADF">
        <w:t xml:space="preserve"> provide operating reserves support during discharge and recharge operation.</w:t>
      </w:r>
      <w:r w:rsidR="00707D8B">
        <w:t xml:space="preserve"> Daily scheduling was also allowed up to total duration minus one hour to ensure that the batteries could provide operating reserves support in all hours. On days during which</w:t>
      </w:r>
      <w:r w:rsidR="004F4B25">
        <w:t xml:space="preserve"> peak</w:t>
      </w:r>
      <w:r w:rsidR="00707D8B">
        <w:t xml:space="preserve"> loads were expected to be </w:t>
      </w:r>
      <w:r w:rsidR="004F4B25">
        <w:t>greater than</w:t>
      </w:r>
      <w:r w:rsidR="00707D8B">
        <w:t xml:space="preserve"> 70% of the annual forecasted peak, scheduling </w:t>
      </w:r>
      <w:r w:rsidR="000E7F83">
        <w:t>is</w:t>
      </w:r>
      <w:r w:rsidR="00707D8B">
        <w:t xml:space="preserve"> </w:t>
      </w:r>
      <w:r w:rsidR="000E7F83">
        <w:t>ignored</w:t>
      </w:r>
      <w:r w:rsidR="00707D8B">
        <w:t xml:space="preserve"> in favor of preserving energy for system reliability.</w:t>
      </w:r>
    </w:p>
    <w:p w14:paraId="3342A440" w14:textId="77777777" w:rsidR="0099301E" w:rsidRPr="0099301E" w:rsidRDefault="0099301E" w:rsidP="0099301E"/>
    <w:p w14:paraId="01E09546" w14:textId="2767FDCA" w:rsidR="004B49A6" w:rsidRPr="00421157" w:rsidRDefault="004B49A6" w:rsidP="00C56A27">
      <w:pPr>
        <w:pStyle w:val="Heading2"/>
        <w:numPr>
          <w:ilvl w:val="1"/>
          <w:numId w:val="13"/>
        </w:numPr>
        <w:ind w:left="360"/>
      </w:pPr>
      <w:bookmarkStart w:id="208" w:name="_Toc187234604"/>
      <w:r w:rsidRPr="00DB641B">
        <w:t xml:space="preserve">Demand </w:t>
      </w:r>
      <w:bookmarkEnd w:id="203"/>
      <w:bookmarkEnd w:id="204"/>
      <w:bookmarkEnd w:id="205"/>
      <w:bookmarkEnd w:id="206"/>
      <w:r w:rsidR="00D744DA">
        <w:t>Response Resources</w:t>
      </w:r>
      <w:bookmarkEnd w:id="207"/>
      <w:bookmarkEnd w:id="208"/>
    </w:p>
    <w:p w14:paraId="1FCB531B" w14:textId="0D7C5084" w:rsidR="004B49A6" w:rsidRPr="00372AC4" w:rsidRDefault="004B49A6" w:rsidP="00217F0E">
      <w:r>
        <w:t>Approximately 2,</w:t>
      </w:r>
      <w:r w:rsidR="005562EE">
        <w:t>794</w:t>
      </w:r>
      <w:r>
        <w:t xml:space="preserve"> MW of </w:t>
      </w:r>
      <w:r w:rsidR="00981A2F">
        <w:t>DRR</w:t>
      </w:r>
      <w:r>
        <w:t xml:space="preserve"> capacity</w:t>
      </w:r>
      <w:r w:rsidR="00D744DA">
        <w:t xml:space="preserve"> (contract value)</w:t>
      </w:r>
      <w:r>
        <w:t xml:space="preserve"> is included in the analysis</w:t>
      </w:r>
      <w:r w:rsidR="00D744DA">
        <w:t xml:space="preserve"> for the summer, and approximately 2</w:t>
      </w:r>
      <w:r w:rsidR="00613E4E">
        <w:t>,</w:t>
      </w:r>
      <w:r w:rsidR="005562EE">
        <w:t>621</w:t>
      </w:r>
      <w:r w:rsidR="00613E4E">
        <w:t xml:space="preserve"> </w:t>
      </w:r>
      <w:r w:rsidR="00D744DA">
        <w:t xml:space="preserve">MW </w:t>
      </w:r>
      <w:r w:rsidR="00496713">
        <w:t>is</w:t>
      </w:r>
      <w:r w:rsidR="00613E4E">
        <w:t xml:space="preserve"> </w:t>
      </w:r>
      <w:r w:rsidR="00D744DA">
        <w:t>included for the winter</w:t>
      </w:r>
      <w:r>
        <w:t>.</w:t>
      </w:r>
      <w:r w:rsidR="00A648A6">
        <w:t xml:space="preserve"> </w:t>
      </w:r>
      <w:r>
        <w:t>The</w:t>
      </w:r>
      <w:r w:rsidR="00D744DA">
        <w:t>se</w:t>
      </w:r>
      <w:r>
        <w:t xml:space="preserve"> </w:t>
      </w:r>
      <w:r w:rsidR="00D744DA">
        <w:t>DRR</w:t>
      </w:r>
      <w:r>
        <w:t xml:space="preserve"> include such programs as Interruptible Service (</w:t>
      </w:r>
      <w:r w:rsidR="008E2FDE">
        <w:t>“</w:t>
      </w:r>
      <w:r>
        <w:t>IS</w:t>
      </w:r>
      <w:r w:rsidR="008E2FDE">
        <w:t>”</w:t>
      </w:r>
      <w:r>
        <w:t>), Real-Time Pricing (</w:t>
      </w:r>
      <w:r w:rsidR="008E2FDE">
        <w:t>“</w:t>
      </w:r>
      <w:r>
        <w:t>RTP</w:t>
      </w:r>
      <w:r w:rsidR="008E2FDE">
        <w:t>”</w:t>
      </w:r>
      <w:r>
        <w:t>), Direct Load Control (</w:t>
      </w:r>
      <w:r w:rsidR="008E2FDE">
        <w:t>“</w:t>
      </w:r>
      <w:r>
        <w:t>DLC</w:t>
      </w:r>
      <w:r w:rsidR="008E2FDE">
        <w:t>”</w:t>
      </w:r>
      <w:r>
        <w:t>), Conservation Voltage Reduction (</w:t>
      </w:r>
      <w:r w:rsidR="008E2FDE">
        <w:t>“</w:t>
      </w:r>
      <w:r>
        <w:t>CVR</w:t>
      </w:r>
      <w:r w:rsidR="008E2FDE">
        <w:t>”</w:t>
      </w:r>
      <w:r>
        <w:t>), and Stand-</w:t>
      </w:r>
      <w:r w:rsidR="003542A6">
        <w:t>B</w:t>
      </w:r>
      <w:r>
        <w:t>y Generation (</w:t>
      </w:r>
      <w:r w:rsidR="008E2FDE">
        <w:t>“</w:t>
      </w:r>
      <w:r>
        <w:t>SBG</w:t>
      </w:r>
      <w:r w:rsidR="008E2FDE">
        <w:t>”</w:t>
      </w:r>
      <w:r>
        <w:t>).</w:t>
      </w:r>
      <w:r w:rsidR="00A648A6">
        <w:t xml:space="preserve"> </w:t>
      </w:r>
      <w:r>
        <w:t>The model reflects both the seasonal availability as well as the contract constraints (</w:t>
      </w:r>
      <w:r w:rsidRPr="046F22F9">
        <w:rPr>
          <w:i/>
        </w:rPr>
        <w:t>e.g.,</w:t>
      </w:r>
      <w:r>
        <w:t xml:space="preserve"> hours per year, days per week, and hours per day) for these energy-limited resources, so there is no need to adjust the contract</w:t>
      </w:r>
      <w:r w:rsidR="00AC0A19">
        <w:t xml:space="preserve"> </w:t>
      </w:r>
      <w:r w:rsidR="57CCCDA7">
        <w:t>capacit</w:t>
      </w:r>
      <w:r w:rsidR="23A05B59">
        <w:t>ies</w:t>
      </w:r>
      <w:r w:rsidR="57CCCDA7">
        <w:t xml:space="preserve"> </w:t>
      </w:r>
      <w:r w:rsidR="00AC0A19">
        <w:t>in the model</w:t>
      </w:r>
      <w:r w:rsidR="41CD75FC">
        <w:t>.</w:t>
      </w:r>
    </w:p>
    <w:p w14:paraId="564000E3" w14:textId="77777777" w:rsidR="004B49A6" w:rsidRPr="00C627E2" w:rsidRDefault="004B49A6" w:rsidP="00217F0E">
      <w:pPr>
        <w:rPr>
          <w:szCs w:val="24"/>
        </w:rPr>
      </w:pPr>
    </w:p>
    <w:p w14:paraId="706ED948" w14:textId="3FB08DEE" w:rsidR="004B49A6" w:rsidRPr="00372AC4" w:rsidRDefault="004B49A6" w:rsidP="00217F0E">
      <w:pPr>
        <w:rPr>
          <w:szCs w:val="24"/>
        </w:rPr>
      </w:pPr>
      <w:r w:rsidRPr="00421157">
        <w:rPr>
          <w:szCs w:val="24"/>
        </w:rPr>
        <w:t>These resources occupy specific positions in the dispatch order</w:t>
      </w:r>
      <w:r w:rsidR="004B7663">
        <w:rPr>
          <w:szCs w:val="24"/>
        </w:rPr>
        <w:t xml:space="preserve"> as established by an assumed dispatch price</w:t>
      </w:r>
      <w:r w:rsidRPr="00421157">
        <w:rPr>
          <w:szCs w:val="24"/>
        </w:rPr>
        <w:t>. The position in dispatch affects their ability to reduce EUE</w:t>
      </w:r>
      <w:r w:rsidRPr="00B138F0">
        <w:rPr>
          <w:szCs w:val="24"/>
        </w:rPr>
        <w:t xml:space="preserve"> and alters the frequency with which they are called.</w:t>
      </w:r>
      <w:r w:rsidRPr="00372AC4">
        <w:rPr>
          <w:szCs w:val="24"/>
        </w:rPr>
        <w:t xml:space="preserve"> </w:t>
      </w:r>
      <w:r w:rsidR="004B7663">
        <w:rPr>
          <w:szCs w:val="24"/>
        </w:rPr>
        <w:t>Some of these resources, such as RTP, are called based on economics and have an assumed dispatch price that is consistent with the expectation of the market prices that would result in self</w:t>
      </w:r>
      <w:r w:rsidR="00416F6F">
        <w:rPr>
          <w:szCs w:val="24"/>
        </w:rPr>
        <w:t>-</w:t>
      </w:r>
      <w:r w:rsidR="004B7663">
        <w:rPr>
          <w:szCs w:val="24"/>
        </w:rPr>
        <w:t>curtailment by the customer. Others are called only to avoid EUE</w:t>
      </w:r>
      <w:r w:rsidR="00416F6F">
        <w:rPr>
          <w:szCs w:val="24"/>
        </w:rPr>
        <w:t>,</w:t>
      </w:r>
      <w:r w:rsidR="004B7663">
        <w:rPr>
          <w:szCs w:val="24"/>
        </w:rPr>
        <w:t xml:space="preserve"> and their assumed dispatch price is </w:t>
      </w:r>
      <w:r w:rsidR="00396403">
        <w:rPr>
          <w:szCs w:val="24"/>
        </w:rPr>
        <w:t xml:space="preserve">principally </w:t>
      </w:r>
      <w:r w:rsidR="004B7663">
        <w:rPr>
          <w:szCs w:val="24"/>
        </w:rPr>
        <w:t xml:space="preserve">used to establish the priority in which these programs are called. That priority is established based on how operations </w:t>
      </w:r>
      <w:r w:rsidR="00AD784F">
        <w:rPr>
          <w:szCs w:val="24"/>
        </w:rPr>
        <w:t xml:space="preserve">would anticipate them to be </w:t>
      </w:r>
      <w:r w:rsidR="004B7663">
        <w:rPr>
          <w:szCs w:val="24"/>
        </w:rPr>
        <w:t>call</w:t>
      </w:r>
      <w:r w:rsidR="00AD784F">
        <w:rPr>
          <w:szCs w:val="24"/>
        </w:rPr>
        <w:t>ed</w:t>
      </w:r>
      <w:r w:rsidR="004B7663">
        <w:rPr>
          <w:szCs w:val="24"/>
        </w:rPr>
        <w:t xml:space="preserve"> in </w:t>
      </w:r>
      <w:r w:rsidR="00AD784F">
        <w:rPr>
          <w:szCs w:val="24"/>
        </w:rPr>
        <w:t xml:space="preserve">a generation shortfall event </w:t>
      </w:r>
      <w:r w:rsidR="00496713">
        <w:rPr>
          <w:szCs w:val="24"/>
        </w:rPr>
        <w:t>with</w:t>
      </w:r>
      <w:r w:rsidR="00AD784F">
        <w:rPr>
          <w:szCs w:val="24"/>
        </w:rPr>
        <w:t xml:space="preserve"> CVR being called first, followed by DLC, then IS, and finally SBG. Within the IS category, the programs are split into three blocks so that all contracts are</w:t>
      </w:r>
      <w:r w:rsidR="00396403">
        <w:rPr>
          <w:szCs w:val="24"/>
        </w:rPr>
        <w:t xml:space="preserve"> not</w:t>
      </w:r>
      <w:r w:rsidR="00AD784F">
        <w:rPr>
          <w:szCs w:val="24"/>
        </w:rPr>
        <w:t xml:space="preserve"> called simultaneously.</w:t>
      </w:r>
    </w:p>
    <w:p w14:paraId="0FE6FC72" w14:textId="77777777" w:rsidR="00496713" w:rsidRPr="00372AC4" w:rsidRDefault="00496713" w:rsidP="00217F0E">
      <w:pPr>
        <w:rPr>
          <w:szCs w:val="24"/>
        </w:rPr>
      </w:pPr>
    </w:p>
    <w:p w14:paraId="7CC4F783" w14:textId="714DE163" w:rsidR="004B49A6" w:rsidRPr="00421157" w:rsidRDefault="004B49A6" w:rsidP="00A76839">
      <w:pPr>
        <w:pStyle w:val="Heading2"/>
        <w:numPr>
          <w:ilvl w:val="1"/>
          <w:numId w:val="13"/>
        </w:numPr>
        <w:ind w:left="360"/>
      </w:pPr>
      <w:bookmarkStart w:id="209" w:name="_Toc342047010"/>
      <w:bookmarkStart w:id="210" w:name="_Toc342048297"/>
      <w:bookmarkStart w:id="211" w:name="_Toc342382584"/>
      <w:bookmarkStart w:id="212" w:name="_Toc342047014"/>
      <w:bookmarkStart w:id="213" w:name="_Toc342048301"/>
      <w:bookmarkStart w:id="214" w:name="_Toc342382588"/>
      <w:bookmarkStart w:id="215" w:name="_Toc440257867"/>
      <w:bookmarkStart w:id="216" w:name="_Toc440260749"/>
      <w:bookmarkStart w:id="217" w:name="_Toc440262213"/>
      <w:bookmarkStart w:id="218" w:name="_Toc440447818"/>
      <w:bookmarkStart w:id="219" w:name="_Toc440447885"/>
      <w:bookmarkStart w:id="220" w:name="_Toc440457934"/>
      <w:bookmarkStart w:id="221" w:name="_Toc440458348"/>
      <w:bookmarkStart w:id="222" w:name="_Toc513710343"/>
      <w:bookmarkStart w:id="223" w:name="_Toc187234605"/>
      <w:bookmarkStart w:id="224" w:name="_Toc222110692"/>
      <w:bookmarkStart w:id="225" w:name="_Toc440262215"/>
      <w:bookmarkStart w:id="226" w:name="_Toc440447887"/>
      <w:bookmarkStart w:id="227" w:name="_Toc440457936"/>
      <w:bookmarkEnd w:id="209"/>
      <w:bookmarkEnd w:id="210"/>
      <w:bookmarkEnd w:id="211"/>
      <w:bookmarkEnd w:id="212"/>
      <w:bookmarkEnd w:id="213"/>
      <w:bookmarkEnd w:id="214"/>
      <w:bookmarkEnd w:id="215"/>
      <w:bookmarkEnd w:id="216"/>
      <w:bookmarkEnd w:id="217"/>
      <w:bookmarkEnd w:id="218"/>
      <w:bookmarkEnd w:id="219"/>
      <w:bookmarkEnd w:id="220"/>
      <w:bookmarkEnd w:id="221"/>
      <w:r w:rsidRPr="004A4FD8">
        <w:t>Renewable Resources</w:t>
      </w:r>
      <w:bookmarkEnd w:id="222"/>
      <w:r w:rsidRPr="458F86C6">
        <w:rPr>
          <w:rStyle w:val="FootnoteReference"/>
        </w:rPr>
        <w:footnoteReference w:id="13"/>
      </w:r>
      <w:bookmarkEnd w:id="223"/>
    </w:p>
    <w:p w14:paraId="56D3986D" w14:textId="25C0EB2A" w:rsidR="004B49A6" w:rsidRDefault="004B49A6" w:rsidP="00F77FF1">
      <w:r>
        <w:t>The amount of renewable resources modeled for the System includes</w:t>
      </w:r>
      <w:r w:rsidR="00D25B56">
        <w:t>:</w:t>
      </w:r>
      <w:r>
        <w:t xml:space="preserve"> </w:t>
      </w:r>
    </w:p>
    <w:p w14:paraId="0E8B7ED1" w14:textId="77777777" w:rsidR="004B49A6" w:rsidRDefault="004B49A6" w:rsidP="00F77FF1"/>
    <w:p w14:paraId="188CDD03" w14:textId="7A5E0293" w:rsidR="004B49A6" w:rsidRPr="000475BE" w:rsidRDefault="004B49A6" w:rsidP="00C56A27">
      <w:pPr>
        <w:pStyle w:val="ListParagraph"/>
        <w:numPr>
          <w:ilvl w:val="0"/>
          <w:numId w:val="15"/>
        </w:numPr>
        <w:rPr>
          <w:szCs w:val="24"/>
        </w:rPr>
      </w:pPr>
      <w:r>
        <w:t>Biomass</w:t>
      </w:r>
      <w:r w:rsidR="00416F6F">
        <w:t>:</w:t>
      </w:r>
      <w:r>
        <w:t xml:space="preserve"> </w:t>
      </w:r>
      <w:r w:rsidR="004967BE">
        <w:t>31</w:t>
      </w:r>
      <w:r w:rsidR="004E77A4">
        <w:t>5</w:t>
      </w:r>
      <w:r>
        <w:t xml:space="preserve"> MW</w:t>
      </w:r>
    </w:p>
    <w:p w14:paraId="6F0781B2" w14:textId="0E17E682" w:rsidR="004B49A6" w:rsidRPr="000475BE" w:rsidRDefault="004B49A6" w:rsidP="00C56A27">
      <w:pPr>
        <w:pStyle w:val="ListParagraph"/>
        <w:numPr>
          <w:ilvl w:val="0"/>
          <w:numId w:val="15"/>
        </w:numPr>
        <w:rPr>
          <w:szCs w:val="24"/>
        </w:rPr>
      </w:pPr>
      <w:r>
        <w:t xml:space="preserve">Landfill Gas: </w:t>
      </w:r>
      <w:r w:rsidR="004E77A4">
        <w:t>39</w:t>
      </w:r>
      <w:r>
        <w:t xml:space="preserve"> MW</w:t>
      </w:r>
    </w:p>
    <w:p w14:paraId="0E07800E" w14:textId="25DC3006" w:rsidR="004B49A6" w:rsidRPr="000475BE" w:rsidRDefault="004B49A6" w:rsidP="00C56A27">
      <w:pPr>
        <w:pStyle w:val="ListParagraph"/>
        <w:numPr>
          <w:ilvl w:val="0"/>
          <w:numId w:val="15"/>
        </w:numPr>
        <w:rPr>
          <w:szCs w:val="24"/>
        </w:rPr>
      </w:pPr>
      <w:r>
        <w:t xml:space="preserve">Solar: </w:t>
      </w:r>
      <w:r w:rsidR="004E77A4">
        <w:t>9</w:t>
      </w:r>
      <w:r w:rsidR="004967BE">
        <w:t>,</w:t>
      </w:r>
      <w:r w:rsidR="004E77A4">
        <w:t>206</w:t>
      </w:r>
      <w:r>
        <w:t xml:space="preserve"> MW </w:t>
      </w:r>
    </w:p>
    <w:p w14:paraId="50C84C43" w14:textId="0D26E352" w:rsidR="004B49A6" w:rsidRPr="000475BE" w:rsidRDefault="004B49A6" w:rsidP="00C56A27">
      <w:pPr>
        <w:pStyle w:val="ListParagraph"/>
        <w:numPr>
          <w:ilvl w:val="0"/>
          <w:numId w:val="15"/>
        </w:numPr>
        <w:rPr>
          <w:szCs w:val="24"/>
        </w:rPr>
      </w:pPr>
      <w:r>
        <w:t xml:space="preserve">Wind: </w:t>
      </w:r>
      <w:r w:rsidR="00EA7CF8">
        <w:t>47</w:t>
      </w:r>
      <w:r w:rsidR="004E77A4">
        <w:t>6</w:t>
      </w:r>
      <w:r>
        <w:t xml:space="preserve"> MW</w:t>
      </w:r>
      <w:r w:rsidR="008707DC">
        <w:rPr>
          <w:rStyle w:val="FootnoteReference"/>
        </w:rPr>
        <w:footnoteReference w:id="14"/>
      </w:r>
    </w:p>
    <w:p w14:paraId="2F228281" w14:textId="77777777" w:rsidR="004B49A6" w:rsidRDefault="004B49A6" w:rsidP="00F77FF1"/>
    <w:p w14:paraId="59F5525F" w14:textId="52121835" w:rsidR="004B49A6" w:rsidRDefault="004B49A6" w:rsidP="00F77FF1">
      <w:pPr>
        <w:rPr>
          <w:szCs w:val="24"/>
        </w:rPr>
      </w:pPr>
      <w:r>
        <w:t>Biomass and landfill gas resources were modeled like other resources with a fixed output level based on their nominal capacity. However, the output of wind and solar resources are dependent upon weather conditions and location. Except for a few of the wind resources on the System that have been contracted based on a fixed hour-by-hour schedule, the output of the wind and solar resources var</w:t>
      </w:r>
      <w:r w:rsidR="00416F6F">
        <w:t>ies</w:t>
      </w:r>
      <w:r>
        <w:t xml:space="preserve"> moment</w:t>
      </w:r>
      <w:r w:rsidR="00087D74">
        <w:t>-</w:t>
      </w:r>
      <w:r>
        <w:t>by</w:t>
      </w:r>
      <w:r w:rsidR="00087D74">
        <w:t>-</w:t>
      </w:r>
      <w:r>
        <w:t>moment, hour</w:t>
      </w:r>
      <w:r w:rsidR="00087D74">
        <w:t>-</w:t>
      </w:r>
      <w:r>
        <w:t>by</w:t>
      </w:r>
      <w:r w:rsidR="00087D74">
        <w:t>-</w:t>
      </w:r>
      <w:r>
        <w:t>hour, and year</w:t>
      </w:r>
      <w:r w:rsidR="00087D74">
        <w:t>-</w:t>
      </w:r>
      <w:r>
        <w:t>by</w:t>
      </w:r>
      <w:r w:rsidR="00087D74">
        <w:t>-</w:t>
      </w:r>
      <w:r>
        <w:t xml:space="preserve">year. These wind and solar resources have been modeled with </w:t>
      </w:r>
      <w:r w:rsidR="000764C3">
        <w:t xml:space="preserve">annual, </w:t>
      </w:r>
      <w:r>
        <w:t>8,760-hour profiles that are consistent with each of the 5</w:t>
      </w:r>
      <w:r w:rsidR="004E77A4">
        <w:t>0</w:t>
      </w:r>
      <w:r>
        <w:t xml:space="preserve"> weather years as well as consistent with their location. </w:t>
      </w:r>
      <w:r w:rsidRPr="000475BE">
        <w:rPr>
          <w:szCs w:val="24"/>
        </w:rPr>
        <w:t xml:space="preserve">Because the profiles included </w:t>
      </w:r>
      <w:r w:rsidR="00AC0A19">
        <w:rPr>
          <w:szCs w:val="24"/>
        </w:rPr>
        <w:t xml:space="preserve">in the model </w:t>
      </w:r>
      <w:r w:rsidRPr="000475BE">
        <w:rPr>
          <w:szCs w:val="24"/>
        </w:rPr>
        <w:t>for these resources reflect the hour</w:t>
      </w:r>
      <w:r w:rsidR="00416F6F">
        <w:rPr>
          <w:szCs w:val="24"/>
        </w:rPr>
        <w:t>-</w:t>
      </w:r>
      <w:r w:rsidRPr="000475BE">
        <w:rPr>
          <w:szCs w:val="24"/>
        </w:rPr>
        <w:t>over</w:t>
      </w:r>
      <w:r w:rsidR="00416F6F">
        <w:rPr>
          <w:szCs w:val="24"/>
        </w:rPr>
        <w:t>-</w:t>
      </w:r>
      <w:r w:rsidRPr="000475BE">
        <w:rPr>
          <w:szCs w:val="24"/>
        </w:rPr>
        <w:t>hour and</w:t>
      </w:r>
      <w:r w:rsidRPr="00DE580B">
        <w:rPr>
          <w:szCs w:val="24"/>
        </w:rPr>
        <w:t xml:space="preserve"> year</w:t>
      </w:r>
      <w:r w:rsidR="00416F6F">
        <w:rPr>
          <w:szCs w:val="24"/>
        </w:rPr>
        <w:t>-</w:t>
      </w:r>
      <w:r w:rsidRPr="00DE580B">
        <w:rPr>
          <w:szCs w:val="24"/>
        </w:rPr>
        <w:t>over</w:t>
      </w:r>
      <w:r w:rsidR="00416F6F">
        <w:rPr>
          <w:szCs w:val="24"/>
        </w:rPr>
        <w:t>-</w:t>
      </w:r>
      <w:r w:rsidRPr="00DE580B">
        <w:rPr>
          <w:szCs w:val="24"/>
        </w:rPr>
        <w:t>year variances in ou</w:t>
      </w:r>
      <w:r w:rsidRPr="005E3BB5">
        <w:rPr>
          <w:szCs w:val="24"/>
        </w:rPr>
        <w:t xml:space="preserve">tput, there is no need to adjust the </w:t>
      </w:r>
      <w:r w:rsidRPr="000A75F6">
        <w:rPr>
          <w:szCs w:val="24"/>
        </w:rPr>
        <w:t>resources</w:t>
      </w:r>
      <w:r w:rsidRPr="008260D5">
        <w:rPr>
          <w:szCs w:val="24"/>
        </w:rPr>
        <w:t xml:space="preserve"> by multiplying by</w:t>
      </w:r>
      <w:r w:rsidRPr="00DF747A">
        <w:rPr>
          <w:szCs w:val="24"/>
        </w:rPr>
        <w:t xml:space="preserve"> </w:t>
      </w:r>
      <w:r w:rsidR="004E77A4">
        <w:rPr>
          <w:szCs w:val="24"/>
        </w:rPr>
        <w:t>ELCC</w:t>
      </w:r>
      <w:r w:rsidRPr="00587265">
        <w:rPr>
          <w:szCs w:val="24"/>
        </w:rPr>
        <w:t xml:space="preserve"> factors.</w:t>
      </w:r>
    </w:p>
    <w:p w14:paraId="11BE53AA" w14:textId="77777777" w:rsidR="00D50B1A" w:rsidRDefault="00D50B1A" w:rsidP="00F77FF1">
      <w:pPr>
        <w:rPr>
          <w:szCs w:val="24"/>
        </w:rPr>
      </w:pPr>
    </w:p>
    <w:p w14:paraId="66360CD2" w14:textId="7EFE2A80" w:rsidR="00E05DF8" w:rsidRDefault="00E05DF8" w:rsidP="00F77FF1">
      <w:r w:rsidRPr="1096A8CF">
        <w:t>A</w:t>
      </w:r>
      <w:r w:rsidR="00FF4F0A" w:rsidRPr="1096A8CF">
        <w:t>s</w:t>
      </w:r>
      <w:r w:rsidR="00D82A06">
        <w:rPr>
          <w:szCs w:val="24"/>
        </w:rPr>
        <w:t xml:space="preserve"> </w:t>
      </w:r>
      <w:r w:rsidR="00FF4F0A" w:rsidRPr="1096A8CF">
        <w:t>solar</w:t>
      </w:r>
      <w:r>
        <w:rPr>
          <w:szCs w:val="24"/>
        </w:rPr>
        <w:t xml:space="preserve"> </w:t>
      </w:r>
      <w:r w:rsidR="00FF4F0A" w:rsidRPr="1096A8CF">
        <w:t>penetration</w:t>
      </w:r>
      <w:r w:rsidRPr="1096A8CF">
        <w:t xml:space="preserve"> continues to</w:t>
      </w:r>
      <w:r w:rsidR="00FF4F0A" w:rsidRPr="1096A8CF">
        <w:t xml:space="preserve"> grow</w:t>
      </w:r>
      <w:r>
        <w:rPr>
          <w:szCs w:val="24"/>
        </w:rPr>
        <w:t xml:space="preserve"> </w:t>
      </w:r>
      <w:r w:rsidR="00FF4F0A" w:rsidRPr="1096A8CF">
        <w:t xml:space="preserve">on a yearly basis, it is important to note that </w:t>
      </w:r>
      <w:r w:rsidRPr="1096A8CF">
        <w:t xml:space="preserve">the </w:t>
      </w:r>
      <w:r w:rsidR="00D15911" w:rsidRPr="1096A8CF">
        <w:t xml:space="preserve">solar </w:t>
      </w:r>
      <w:r w:rsidRPr="1096A8CF">
        <w:t>impact to summer reliability remains much higher than winter</w:t>
      </w:r>
      <w:r w:rsidR="005623F8">
        <w:rPr>
          <w:szCs w:val="24"/>
        </w:rPr>
        <w:t xml:space="preserve">. </w:t>
      </w:r>
      <w:r w:rsidR="004E77A4">
        <w:rPr>
          <w:szCs w:val="24"/>
        </w:rPr>
        <w:fldChar w:fldCharType="begin"/>
      </w:r>
      <w:r w:rsidR="004E77A4">
        <w:rPr>
          <w:szCs w:val="24"/>
        </w:rPr>
        <w:instrText xml:space="preserve"> REF _Ref165470392 \h </w:instrText>
      </w:r>
      <w:r w:rsidR="004E77A4">
        <w:rPr>
          <w:szCs w:val="24"/>
        </w:rPr>
      </w:r>
      <w:r w:rsidR="004E77A4">
        <w:rPr>
          <w:szCs w:val="24"/>
        </w:rPr>
        <w:fldChar w:fldCharType="separate"/>
      </w:r>
      <w:r w:rsidR="004E77A4">
        <w:t xml:space="preserve">Figure </w:t>
      </w:r>
      <w:r w:rsidR="004E77A4">
        <w:rPr>
          <w:noProof/>
        </w:rPr>
        <w:t>I</w:t>
      </w:r>
      <w:r w:rsidR="004E77A4">
        <w:t>.</w:t>
      </w:r>
      <w:r w:rsidR="004E77A4">
        <w:rPr>
          <w:noProof/>
        </w:rPr>
        <w:t>15</w:t>
      </w:r>
      <w:r w:rsidR="004E77A4">
        <w:rPr>
          <w:szCs w:val="24"/>
        </w:rPr>
        <w:fldChar w:fldCharType="end"/>
      </w:r>
      <w:r w:rsidR="004E77A4">
        <w:rPr>
          <w:szCs w:val="24"/>
        </w:rPr>
        <w:t xml:space="preserve"> </w:t>
      </w:r>
      <w:r w:rsidR="00441868" w:rsidRPr="1096A8CF">
        <w:t xml:space="preserve">below shows the expected penetration of solar resources on the </w:t>
      </w:r>
      <w:r w:rsidR="3DDAD11F" w:rsidRPr="1096A8CF">
        <w:t>S</w:t>
      </w:r>
      <w:r w:rsidR="0C416338" w:rsidRPr="1096A8CF">
        <w:t>ystem</w:t>
      </w:r>
      <w:r w:rsidR="00441868" w:rsidRPr="1096A8CF">
        <w:t xml:space="preserve"> through 202</w:t>
      </w:r>
      <w:r w:rsidR="004E77A4" w:rsidRPr="1096A8CF">
        <w:t>8</w:t>
      </w:r>
      <w:r w:rsidR="00441868" w:rsidRPr="1096A8CF">
        <w:t xml:space="preserve"> along with their corresponding </w:t>
      </w:r>
      <w:r w:rsidR="004E77A4" w:rsidRPr="1096A8CF">
        <w:t>ELCC</w:t>
      </w:r>
      <w:r w:rsidR="00441868" w:rsidRPr="1096A8CF">
        <w:t xml:space="preserve"> summer and</w:t>
      </w:r>
      <w:r w:rsidR="00105B02" w:rsidRPr="1096A8CF">
        <w:t xml:space="preserve"> winter</w:t>
      </w:r>
      <w:r w:rsidR="00441868" w:rsidRPr="1096A8CF">
        <w:t xml:space="preserve"> capacity values. T</w:t>
      </w:r>
      <w:r w:rsidR="005623F8" w:rsidRPr="1096A8CF">
        <w:t>he capacity contribution from solar resources to both seasons remains well below nominal capacity</w:t>
      </w:r>
      <w:r w:rsidR="005623F8" w:rsidRPr="1096A8CF" w:rsidDel="00863D12">
        <w:t xml:space="preserve"> indicating that solar alone cannot meet all</w:t>
      </w:r>
      <w:r w:rsidR="002D1DAD">
        <w:t xml:space="preserve"> System</w:t>
      </w:r>
      <w:r w:rsidR="005623F8" w:rsidRPr="1096A8CF" w:rsidDel="00863D12">
        <w:t xml:space="preserve"> </w:t>
      </w:r>
      <w:r w:rsidR="002D1DAD">
        <w:t>capacity</w:t>
      </w:r>
      <w:r w:rsidR="005623F8" w:rsidRPr="1096A8CF" w:rsidDel="00863D12">
        <w:t xml:space="preserve"> needs</w:t>
      </w:r>
      <w:r w:rsidR="00496713" w:rsidRPr="1096A8CF">
        <w:t xml:space="preserve">. </w:t>
      </w:r>
      <w:r w:rsidR="00496713" w:rsidRPr="1096A8CF" w:rsidDel="00406BA7">
        <w:t>Moreover,</w:t>
      </w:r>
      <w:r w:rsidR="002D1DAD">
        <w:t xml:space="preserve"> </w:t>
      </w:r>
      <w:r w:rsidR="0C416338" w:rsidRPr="1096A8CF" w:rsidDel="00406BA7">
        <w:t>t</w:t>
      </w:r>
      <w:r w:rsidR="0C416338" w:rsidRPr="1096A8CF">
        <w:t>his</w:t>
      </w:r>
      <w:r w:rsidR="00441868" w:rsidRPr="1096A8CF">
        <w:t xml:space="preserve"> capacity value continues to decrease per MW of new solar added to the System</w:t>
      </w:r>
      <w:r w:rsidR="005623F8">
        <w:rPr>
          <w:szCs w:val="24"/>
        </w:rPr>
        <w:t>.</w:t>
      </w:r>
      <w:r w:rsidR="00441868" w:rsidRPr="1096A8CF">
        <w:t xml:space="preserve"> For example, between 202</w:t>
      </w:r>
      <w:r w:rsidR="004E77A4" w:rsidRPr="1096A8CF">
        <w:t>6</w:t>
      </w:r>
      <w:r w:rsidR="00441868" w:rsidRPr="1096A8CF">
        <w:t xml:space="preserve"> and 202</w:t>
      </w:r>
      <w:r w:rsidR="004E77A4" w:rsidRPr="1096A8CF">
        <w:t>7</w:t>
      </w:r>
      <w:r w:rsidR="00441868">
        <w:rPr>
          <w:szCs w:val="24"/>
        </w:rPr>
        <w:t xml:space="preserve">, </w:t>
      </w:r>
      <w:r w:rsidR="004E77A4" w:rsidRPr="1096A8CF">
        <w:t>2</w:t>
      </w:r>
      <w:r w:rsidR="00441868">
        <w:rPr>
          <w:szCs w:val="24"/>
        </w:rPr>
        <w:t>,</w:t>
      </w:r>
      <w:r w:rsidR="004E77A4" w:rsidRPr="1096A8CF">
        <w:t>975</w:t>
      </w:r>
      <w:r w:rsidR="00441868" w:rsidRPr="1096A8CF">
        <w:t xml:space="preserve"> MW of nominal solar capacity</w:t>
      </w:r>
      <w:r w:rsidR="00AA6F0A">
        <w:t>,</w:t>
      </w:r>
      <w:r w:rsidR="004E77A4" w:rsidRPr="1096A8CF">
        <w:t xml:space="preserve"> including estimated expansion</w:t>
      </w:r>
      <w:r w:rsidR="00AA6F0A">
        <w:t>,</w:t>
      </w:r>
      <w:r w:rsidR="00441868" w:rsidRPr="1096A8CF">
        <w:t xml:space="preserve"> is </w:t>
      </w:r>
      <w:r w:rsidR="00E16922" w:rsidRPr="1096A8CF">
        <w:t>projected</w:t>
      </w:r>
      <w:r w:rsidR="00441868" w:rsidRPr="1096A8CF">
        <w:t xml:space="preserve"> to be added </w:t>
      </w:r>
      <w:r w:rsidR="00AA6F0A">
        <w:t>to the System, while</w:t>
      </w:r>
      <w:r w:rsidR="00441868" w:rsidRPr="1096A8CF">
        <w:t xml:space="preserve"> the </w:t>
      </w:r>
      <w:r w:rsidR="00507064" w:rsidRPr="1096A8CF">
        <w:t>expected increase in summer solar capacity contributing to reliability is</w:t>
      </w:r>
      <w:r w:rsidR="00672E69">
        <w:t xml:space="preserve"> only</w:t>
      </w:r>
      <w:r w:rsidR="00507064" w:rsidRPr="1096A8CF">
        <w:t xml:space="preserve"> </w:t>
      </w:r>
      <w:r w:rsidR="00FF0BBF" w:rsidRPr="1096A8CF">
        <w:t>911</w:t>
      </w:r>
      <w:r w:rsidR="00507064" w:rsidRPr="1096A8CF">
        <w:t xml:space="preserve"> MW</w:t>
      </w:r>
      <w:r w:rsidR="00833729">
        <w:t>,</w:t>
      </w:r>
      <w:r w:rsidR="00507064" w:rsidRPr="1096A8CF">
        <w:t xml:space="preserve"> or </w:t>
      </w:r>
      <w:r w:rsidR="00FF0BBF" w:rsidRPr="1096A8CF">
        <w:t>31</w:t>
      </w:r>
      <w:r w:rsidR="00507064" w:rsidRPr="1096A8CF">
        <w:t>%</w:t>
      </w:r>
      <w:r w:rsidR="00833729">
        <w:t xml:space="preserve"> of nominal capacity</w:t>
      </w:r>
      <w:r w:rsidR="00507064" w:rsidRPr="1096A8CF">
        <w:t xml:space="preserve">. The following year an additional </w:t>
      </w:r>
      <w:r w:rsidR="00FF0BBF" w:rsidRPr="1096A8CF">
        <w:t>400</w:t>
      </w:r>
      <w:r w:rsidR="00507064" w:rsidRPr="1096A8CF">
        <w:t xml:space="preserve"> MW of nominal capacity is expected but the reliability-contributing capacity is</w:t>
      </w:r>
      <w:r w:rsidR="00833729">
        <w:t xml:space="preserve"> only</w:t>
      </w:r>
      <w:r w:rsidR="00507064" w:rsidRPr="1096A8CF">
        <w:t xml:space="preserve"> 1</w:t>
      </w:r>
      <w:r w:rsidR="00FF0BBF" w:rsidRPr="1096A8CF">
        <w:t>00</w:t>
      </w:r>
      <w:r w:rsidR="00507064" w:rsidRPr="1096A8CF">
        <w:t xml:space="preserve"> MW</w:t>
      </w:r>
      <w:r w:rsidR="00833729">
        <w:t>,</w:t>
      </w:r>
      <w:r w:rsidR="00507064" w:rsidRPr="1096A8CF">
        <w:t xml:space="preserve"> o</w:t>
      </w:r>
      <w:r w:rsidR="004E0228" w:rsidRPr="1096A8CF">
        <w:t>r</w:t>
      </w:r>
      <w:r w:rsidR="00507064">
        <w:rPr>
          <w:szCs w:val="24"/>
        </w:rPr>
        <w:t xml:space="preserve"> </w:t>
      </w:r>
      <w:r w:rsidR="00FF0BBF" w:rsidRPr="1096A8CF">
        <w:t>25</w:t>
      </w:r>
      <w:r w:rsidR="00507064">
        <w:rPr>
          <w:szCs w:val="24"/>
        </w:rPr>
        <w:t>%</w:t>
      </w:r>
      <w:r w:rsidR="00833729">
        <w:t xml:space="preserve"> of nominal capa</w:t>
      </w:r>
      <w:r w:rsidR="00B12F81">
        <w:t>city</w:t>
      </w:r>
      <w:r w:rsidR="00507064">
        <w:rPr>
          <w:szCs w:val="24"/>
        </w:rPr>
        <w:t>.</w:t>
      </w:r>
    </w:p>
    <w:p w14:paraId="3365F99A" w14:textId="2D6E425A" w:rsidR="004B49A6" w:rsidRDefault="004B49A6" w:rsidP="00F77FF1">
      <w:pPr>
        <w:rPr>
          <w:szCs w:val="24"/>
        </w:rPr>
      </w:pPr>
    </w:p>
    <w:p w14:paraId="30127568" w14:textId="1B38787E" w:rsidR="00507064" w:rsidRDefault="003421FF" w:rsidP="00507064">
      <w:pPr>
        <w:keepNext/>
      </w:pPr>
      <w:r>
        <w:rPr>
          <w:noProof/>
        </w:rPr>
        <w:drawing>
          <wp:inline distT="0" distB="0" distL="0" distR="0" wp14:anchorId="31B8EB59" wp14:editId="57DC67D2">
            <wp:extent cx="5855970" cy="4251172"/>
            <wp:effectExtent l="0" t="0" r="0" b="0"/>
            <wp:docPr id="11165147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868463" cy="4260241"/>
                    </a:xfrm>
                    <a:prstGeom prst="rect">
                      <a:avLst/>
                    </a:prstGeom>
                    <a:noFill/>
                  </pic:spPr>
                </pic:pic>
              </a:graphicData>
            </a:graphic>
          </wp:inline>
        </w:drawing>
      </w:r>
    </w:p>
    <w:p w14:paraId="79F444C4" w14:textId="16E946B2" w:rsidR="00507064" w:rsidRDefault="00507064" w:rsidP="00507064">
      <w:pPr>
        <w:pStyle w:val="Caption"/>
        <w:jc w:val="both"/>
        <w:rPr>
          <w:szCs w:val="24"/>
        </w:rPr>
      </w:pPr>
      <w:bookmarkStart w:id="228" w:name="_Ref165470392"/>
      <w:bookmarkStart w:id="229" w:name="_Ref165470387"/>
      <w:bookmarkStart w:id="230" w:name="_Toc187234675"/>
      <w:r>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15</w:t>
      </w:r>
      <w:r w:rsidR="00F262E6">
        <w:fldChar w:fldCharType="end"/>
      </w:r>
      <w:bookmarkEnd w:id="228"/>
      <w:r>
        <w:t xml:space="preserve"> Solar Resource Penetration</w:t>
      </w:r>
      <w:bookmarkEnd w:id="229"/>
      <w:bookmarkEnd w:id="230"/>
    </w:p>
    <w:p w14:paraId="243234BF" w14:textId="77777777" w:rsidR="00507064" w:rsidRPr="00372AC4" w:rsidRDefault="00507064" w:rsidP="00F77FF1">
      <w:pPr>
        <w:rPr>
          <w:szCs w:val="24"/>
        </w:rPr>
      </w:pPr>
    </w:p>
    <w:p w14:paraId="6A2562C8" w14:textId="77777777" w:rsidR="004B49A6" w:rsidRPr="00421157" w:rsidRDefault="004B49A6" w:rsidP="00C56A27">
      <w:pPr>
        <w:pStyle w:val="Heading2"/>
        <w:numPr>
          <w:ilvl w:val="1"/>
          <w:numId w:val="13"/>
        </w:numPr>
        <w:ind w:left="360"/>
      </w:pPr>
      <w:bookmarkStart w:id="231" w:name="_Toc513710344"/>
      <w:bookmarkStart w:id="232" w:name="_Ref175041850"/>
      <w:bookmarkStart w:id="233" w:name="_Toc187234606"/>
      <w:r w:rsidRPr="00DB641B">
        <w:t>Natural Gas Availability</w:t>
      </w:r>
      <w:bookmarkEnd w:id="231"/>
      <w:bookmarkEnd w:id="232"/>
      <w:bookmarkEnd w:id="233"/>
    </w:p>
    <w:p w14:paraId="374B8AB1" w14:textId="773B856C" w:rsidR="004B49A6" w:rsidRDefault="004B49A6" w:rsidP="00F77FF1">
      <w:pPr>
        <w:rPr>
          <w:szCs w:val="24"/>
        </w:rPr>
      </w:pPr>
      <w:r>
        <w:rPr>
          <w:szCs w:val="24"/>
        </w:rPr>
        <w:t xml:space="preserve">Natural </w:t>
      </w:r>
      <w:r w:rsidR="00496713">
        <w:rPr>
          <w:szCs w:val="24"/>
        </w:rPr>
        <w:t>g</w:t>
      </w:r>
      <w:r>
        <w:rPr>
          <w:szCs w:val="24"/>
        </w:rPr>
        <w:t xml:space="preserve">as operates in accordance </w:t>
      </w:r>
      <w:r w:rsidR="00FB7ACF">
        <w:rPr>
          <w:szCs w:val="24"/>
        </w:rPr>
        <w:t>with</w:t>
      </w:r>
      <w:r>
        <w:rPr>
          <w:szCs w:val="24"/>
        </w:rPr>
        <w:t xml:space="preserve"> the Gas Day (</w:t>
      </w:r>
      <w:r w:rsidRPr="00087D74">
        <w:rPr>
          <w:i/>
          <w:szCs w:val="24"/>
        </w:rPr>
        <w:t>i.e.</w:t>
      </w:r>
      <w:r>
        <w:rPr>
          <w:szCs w:val="24"/>
        </w:rPr>
        <w:t>, 9AM-9AM), whereas electricity operates according to the Electric Day (</w:t>
      </w:r>
      <w:r w:rsidRPr="00087D74">
        <w:rPr>
          <w:i/>
          <w:szCs w:val="24"/>
        </w:rPr>
        <w:t>i.e.</w:t>
      </w:r>
      <w:r>
        <w:rPr>
          <w:szCs w:val="24"/>
        </w:rPr>
        <w:t xml:space="preserve">, Midnight to Midnight). </w:t>
      </w:r>
      <w:r w:rsidRPr="00B138F0">
        <w:rPr>
          <w:szCs w:val="24"/>
        </w:rPr>
        <w:t>Firm gas transportation is procured for</w:t>
      </w:r>
      <w:r w:rsidR="00930A34">
        <w:rPr>
          <w:szCs w:val="24"/>
        </w:rPr>
        <w:t xml:space="preserve"> most of </w:t>
      </w:r>
      <w:r w:rsidRPr="00B138F0">
        <w:rPr>
          <w:szCs w:val="24"/>
        </w:rPr>
        <w:t xml:space="preserve">the </w:t>
      </w:r>
      <w:r>
        <w:rPr>
          <w:szCs w:val="24"/>
        </w:rPr>
        <w:t>fleet’s gas-fired units</w:t>
      </w:r>
      <w:r w:rsidR="00FF0BBF">
        <w:rPr>
          <w:szCs w:val="24"/>
        </w:rPr>
        <w:t xml:space="preserve"> that do not have oil backup</w:t>
      </w:r>
      <w:r w:rsidRPr="00372AC4">
        <w:rPr>
          <w:szCs w:val="24"/>
        </w:rPr>
        <w:t>.</w:t>
      </w:r>
      <w:r>
        <w:rPr>
          <w:szCs w:val="24"/>
        </w:rPr>
        <w:t xml:space="preserve"> The amounts to be procured are generally driven by the System’s Fuel Policy. Although case-specific situations may allow for deviations from the Fuel Policy, for purposes of the 20</w:t>
      </w:r>
      <w:r w:rsidR="009D54B4">
        <w:rPr>
          <w:szCs w:val="24"/>
        </w:rPr>
        <w:t>2</w:t>
      </w:r>
      <w:r w:rsidR="00FF0BBF">
        <w:rPr>
          <w:szCs w:val="24"/>
        </w:rPr>
        <w:t>4</w:t>
      </w:r>
      <w:r>
        <w:rPr>
          <w:szCs w:val="24"/>
        </w:rPr>
        <w:t xml:space="preserve"> Reserve Margin Study, all facilities under control of</w:t>
      </w:r>
      <w:r w:rsidR="0051775B">
        <w:rPr>
          <w:szCs w:val="24"/>
        </w:rPr>
        <w:t xml:space="preserve"> the</w:t>
      </w:r>
      <w:r>
        <w:rPr>
          <w:szCs w:val="24"/>
        </w:rPr>
        <w:t xml:space="preserve"> </w:t>
      </w:r>
      <w:r w:rsidR="0051775B">
        <w:rPr>
          <w:szCs w:val="24"/>
        </w:rPr>
        <w:t>Operating Companies</w:t>
      </w:r>
      <w:r w:rsidR="0051775B" w:rsidDel="0051775B">
        <w:rPr>
          <w:szCs w:val="24"/>
        </w:rPr>
        <w:t xml:space="preserve"> </w:t>
      </w:r>
      <w:r>
        <w:rPr>
          <w:szCs w:val="24"/>
        </w:rPr>
        <w:t>were modeled in compliance with the Fuel Policy unless they had no contractual rights to dictate the amount of gas transportation to be purchase</w:t>
      </w:r>
      <w:r w:rsidR="003E4C54">
        <w:rPr>
          <w:szCs w:val="24"/>
        </w:rPr>
        <w:t>d</w:t>
      </w:r>
      <w:r>
        <w:rPr>
          <w:szCs w:val="24"/>
        </w:rPr>
        <w:t xml:space="preserve"> for the facility. </w:t>
      </w:r>
    </w:p>
    <w:p w14:paraId="681481B0" w14:textId="77777777" w:rsidR="004B49A6" w:rsidRDefault="004B49A6" w:rsidP="00F77FF1">
      <w:pPr>
        <w:rPr>
          <w:szCs w:val="24"/>
        </w:rPr>
      </w:pPr>
    </w:p>
    <w:p w14:paraId="75C03186" w14:textId="2649B29E" w:rsidR="004B49A6" w:rsidRPr="00943E4B" w:rsidRDefault="004B49A6" w:rsidP="00F77FF1">
      <w:r w:rsidRPr="458F86C6">
        <w:t xml:space="preserve">SERVM models both firm and non-firm gas transportation and its associated availability. During periods of high demand for natural gas, the </w:t>
      </w:r>
      <w:r w:rsidR="5468F48E" w:rsidRPr="458F86C6">
        <w:t>avail</w:t>
      </w:r>
      <w:r w:rsidR="5D501C8E" w:rsidRPr="458F86C6">
        <w:t>ab</w:t>
      </w:r>
      <w:r w:rsidR="111248D7" w:rsidRPr="458F86C6">
        <w:t>i</w:t>
      </w:r>
      <w:r w:rsidR="5468F48E" w:rsidRPr="458F86C6">
        <w:t>lity of</w:t>
      </w:r>
      <w:r w:rsidR="0007558C">
        <w:t xml:space="preserve"> gas-fired resources </w:t>
      </w:r>
      <w:r w:rsidR="02ABF96A">
        <w:t>is</w:t>
      </w:r>
      <w:r w:rsidRPr="458F86C6">
        <w:t xml:space="preserve"> limited to</w:t>
      </w:r>
      <w:r w:rsidR="00F0333B">
        <w:t xml:space="preserve"> those with</w:t>
      </w:r>
      <w:r w:rsidRPr="458F86C6">
        <w:t xml:space="preserve"> firm transportation contracts since interruptible transportation is not</w:t>
      </w:r>
      <w:r w:rsidR="00F0333B">
        <w:t xml:space="preserve"> guaranteed to be</w:t>
      </w:r>
      <w:r w:rsidRPr="458F86C6">
        <w:t xml:space="preserve"> available. This constraint has been incorporated into the modeling process. The model begins phasing out interruptible transportation (</w:t>
      </w:r>
      <w:r w:rsidRPr="458F86C6">
        <w:rPr>
          <w:i/>
        </w:rPr>
        <w:t>i.</w:t>
      </w:r>
      <w:r w:rsidR="003E4C54" w:rsidRPr="458F86C6">
        <w:rPr>
          <w:i/>
        </w:rPr>
        <w:t>e</w:t>
      </w:r>
      <w:r w:rsidRPr="458F86C6">
        <w:rPr>
          <w:i/>
        </w:rPr>
        <w:t>.</w:t>
      </w:r>
      <w:r w:rsidRPr="458F86C6">
        <w:t xml:space="preserve">, it starts becoming unavailable) when the daily minimum system weighted temperature falls below </w:t>
      </w:r>
      <w:r w:rsidR="00364858" w:rsidRPr="0037702A">
        <w:rPr>
          <w:b/>
          <w:bCs/>
          <w:sz w:val="12"/>
          <w:szCs w:val="12"/>
        </w:rPr>
        <w:t>REDACTED</w:t>
      </w:r>
      <w:r w:rsidR="00FF0BBF" w:rsidRPr="0037702A">
        <w:rPr>
          <w:sz w:val="28"/>
          <w:szCs w:val="28"/>
        </w:rPr>
        <w:t xml:space="preserve"> </w:t>
      </w:r>
      <w:r w:rsidR="00FF0BBF" w:rsidRPr="458F86C6">
        <w:t xml:space="preserve">or when the daily maximum temperature rises above </w:t>
      </w:r>
      <w:r w:rsidR="00364858" w:rsidRPr="0037702A">
        <w:rPr>
          <w:b/>
          <w:bCs/>
          <w:sz w:val="12"/>
          <w:szCs w:val="12"/>
        </w:rPr>
        <w:t>REDACTED</w:t>
      </w:r>
      <w:r w:rsidR="009D54B4" w:rsidRPr="00943E4B">
        <w:rPr>
          <w:szCs w:val="24"/>
        </w:rPr>
        <w:t>.</w:t>
      </w:r>
      <w:r w:rsidRPr="458F86C6">
        <w:t xml:space="preserve"> When the daily minimum temperature falls below </w:t>
      </w:r>
      <w:r w:rsidR="00364858" w:rsidRPr="0037702A">
        <w:rPr>
          <w:b/>
          <w:bCs/>
          <w:sz w:val="10"/>
          <w:szCs w:val="10"/>
        </w:rPr>
        <w:t>REDACTED</w:t>
      </w:r>
      <w:r w:rsidR="00FF0BBF" w:rsidRPr="0037702A">
        <w:rPr>
          <w:sz w:val="10"/>
          <w:szCs w:val="10"/>
        </w:rPr>
        <w:t xml:space="preserve"> </w:t>
      </w:r>
      <w:r w:rsidR="00FF0BBF" w:rsidRPr="458F86C6">
        <w:t xml:space="preserve">or the daily maximum temperature rises above </w:t>
      </w:r>
      <w:r w:rsidR="00364858" w:rsidRPr="003551D0">
        <w:rPr>
          <w:b/>
          <w:bCs/>
          <w:sz w:val="12"/>
          <w:szCs w:val="12"/>
        </w:rPr>
        <w:t>REDACTED</w:t>
      </w:r>
      <w:r w:rsidRPr="458F86C6">
        <w:t>, no interruptible transportation is available for that Gas Day.</w:t>
      </w:r>
      <w:r w:rsidR="003E4C54" w:rsidRPr="00943E4B">
        <w:rPr>
          <w:szCs w:val="24"/>
        </w:rPr>
        <w:t xml:space="preserve"> </w:t>
      </w:r>
      <w:r w:rsidR="00D31B42" w:rsidRPr="00943E4B">
        <w:rPr>
          <w:szCs w:val="24"/>
        </w:rPr>
        <w:fldChar w:fldCharType="begin"/>
      </w:r>
      <w:r w:rsidR="00D31B42" w:rsidRPr="00943E4B">
        <w:rPr>
          <w:szCs w:val="24"/>
        </w:rPr>
        <w:instrText xml:space="preserve"> REF _Ref84497615 \h </w:instrText>
      </w:r>
      <w:r w:rsidR="00943E4B">
        <w:rPr>
          <w:szCs w:val="24"/>
        </w:rPr>
        <w:instrText xml:space="preserve"> \* MERGEFORMAT </w:instrText>
      </w:r>
      <w:r w:rsidR="00D31B42" w:rsidRPr="00943E4B">
        <w:rPr>
          <w:szCs w:val="24"/>
        </w:rPr>
      </w:r>
      <w:r w:rsidR="00D31B42" w:rsidRPr="00943E4B">
        <w:rPr>
          <w:szCs w:val="24"/>
        </w:rPr>
        <w:fldChar w:fldCharType="separate"/>
      </w:r>
      <w:r w:rsidR="00CB5F1B" w:rsidRPr="00943E4B">
        <w:t>Figure</w:t>
      </w:r>
      <w:r w:rsidR="00CB5F1B" w:rsidRPr="00943E4B">
        <w:rPr>
          <w:noProof/>
        </w:rPr>
        <w:t xml:space="preserve"> </w:t>
      </w:r>
      <w:r w:rsidR="00CB5F1B">
        <w:t>I</w:t>
      </w:r>
      <w:r w:rsidR="00CB5F1B">
        <w:rPr>
          <w:noProof/>
        </w:rPr>
        <w:t>.16</w:t>
      </w:r>
      <w:r w:rsidR="00D31B42" w:rsidRPr="00943E4B">
        <w:rPr>
          <w:szCs w:val="24"/>
        </w:rPr>
        <w:fldChar w:fldCharType="end"/>
      </w:r>
      <w:r w:rsidR="008E2FDE" w:rsidRPr="00943E4B">
        <w:rPr>
          <w:szCs w:val="24"/>
        </w:rPr>
        <w:t xml:space="preserve"> </w:t>
      </w:r>
      <w:r w:rsidR="003E4C54" w:rsidRPr="458F86C6">
        <w:t xml:space="preserve">below illustrates the availability of </w:t>
      </w:r>
      <w:r w:rsidR="008E2FDE" w:rsidRPr="458F86C6">
        <w:t xml:space="preserve">interruptible transportation </w:t>
      </w:r>
      <w:r w:rsidR="003E4C54" w:rsidRPr="458F86C6">
        <w:t>as modeled within SERVM.</w:t>
      </w:r>
    </w:p>
    <w:p w14:paraId="44220529" w14:textId="5B1DBD4F" w:rsidR="0053151C" w:rsidRPr="00943E4B" w:rsidRDefault="0087126D" w:rsidP="0053151C">
      <w:pPr>
        <w:keepNext/>
      </w:pPr>
      <w:r>
        <w:rPr>
          <w:noProof/>
        </w:rPr>
        <mc:AlternateContent>
          <mc:Choice Requires="wps">
            <w:drawing>
              <wp:anchor distT="0" distB="0" distL="114300" distR="114300" simplePos="0" relativeHeight="251661312" behindDoc="0" locked="0" layoutInCell="1" allowOverlap="1" wp14:anchorId="1EF46587" wp14:editId="1CDE2500">
                <wp:simplePos x="0" y="0"/>
                <wp:positionH relativeFrom="margin">
                  <wp:posOffset>0</wp:posOffset>
                </wp:positionH>
                <wp:positionV relativeFrom="paragraph">
                  <wp:posOffset>228600</wp:posOffset>
                </wp:positionV>
                <wp:extent cx="5870448" cy="1883664"/>
                <wp:effectExtent l="0" t="0" r="16510" b="21590"/>
                <wp:wrapSquare wrapText="bothSides"/>
                <wp:docPr id="26" name="Rectangle 26"/>
                <wp:cNvGraphicFramePr/>
                <a:graphic xmlns:a="http://schemas.openxmlformats.org/drawingml/2006/main">
                  <a:graphicData uri="http://schemas.microsoft.com/office/word/2010/wordprocessingShape">
                    <wps:wsp>
                      <wps:cNvSpPr/>
                      <wps:spPr>
                        <a:xfrm>
                          <a:off x="0" y="0"/>
                          <a:ext cx="5870448" cy="1883664"/>
                        </a:xfrm>
                        <a:prstGeom prst="rect">
                          <a:avLst/>
                        </a:prstGeom>
                        <a:ln/>
                      </wps:spPr>
                      <wps:style>
                        <a:lnRef idx="2">
                          <a:schemeClr val="dk1"/>
                        </a:lnRef>
                        <a:fillRef idx="1">
                          <a:schemeClr val="lt1"/>
                        </a:fillRef>
                        <a:effectRef idx="0">
                          <a:schemeClr val="dk1"/>
                        </a:effectRef>
                        <a:fontRef idx="minor">
                          <a:schemeClr val="dk1"/>
                        </a:fontRef>
                      </wps:style>
                      <wps:txbx>
                        <w:txbxContent>
                          <w:p w14:paraId="2F0348F4" w14:textId="7065F36D" w:rsidR="0087126D" w:rsidRDefault="0087126D" w:rsidP="006F302C">
                            <w:pPr>
                              <w:jc w:val="center"/>
                            </w:pPr>
                            <w:r w:rsidRPr="006F302C">
                              <w:rPr>
                                <w:b/>
                              </w:rPr>
                              <w:t>REDACTED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F46587" id="Rectangle 26" o:spid="_x0000_s1028" style="position:absolute;left:0;text-align:left;margin-left:0;margin-top:18pt;width:462.25pt;height:148.3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" fillcolor="white [3201]" strokecolor="black [3200]" strokeweight="2pt">
                <v:textbox>
                  <w:txbxContent>
                    <w:p w14:paraId="2F0348F4" w14:textId="7065F36D" w:rsidR="0087126D" w:rsidRDefault="0087126D" w:rsidP="006F302C">
                      <w:pPr>
                        <w:jc w:val="center"/>
                      </w:pPr>
                      <w:r w:rsidRPr="006F302C">
                        <w:rPr>
                          <w:b/>
                        </w:rPr>
                        <w:t>REDACTED</w:t>
                      </w:r>
                    </w:p>
                  </w:txbxContent>
                </v:textbox>
                <w10:wrap type="square" anchorx="margin"/>
              </v:rect>
            </w:pict>
          </mc:Fallback>
        </mc:AlternateContent>
      </w:r>
    </w:p>
    <w:p w14:paraId="682CDDBE" w14:textId="7FFB4FD9" w:rsidR="003E4C54" w:rsidRPr="00943E4B" w:rsidRDefault="0053151C" w:rsidP="0053151C">
      <w:pPr>
        <w:pStyle w:val="Caption"/>
        <w:jc w:val="both"/>
        <w:rPr>
          <w:szCs w:val="24"/>
        </w:rPr>
      </w:pPr>
      <w:bookmarkStart w:id="234" w:name="_Ref84497615"/>
      <w:bookmarkStart w:id="235" w:name="_Toc513710591"/>
      <w:bookmarkStart w:id="236" w:name="_Toc187234676"/>
      <w:r w:rsidRPr="00943E4B">
        <w:t xml:space="preserve">Figure </w:t>
      </w:r>
      <w:r w:rsidR="00F262E6">
        <w:fldChar w:fldCharType="begin"/>
      </w:r>
      <w:r w:rsidR="00F262E6">
        <w:instrText xml:space="preserve"> STYLEREF 1 \s </w:instrText>
      </w:r>
      <w:r w:rsidR="00F262E6">
        <w:fldChar w:fldCharType="separate"/>
      </w:r>
      <w:r w:rsidR="00F262E6">
        <w:rPr>
          <w:noProof/>
        </w:rPr>
        <w:t>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16</w:t>
      </w:r>
      <w:r w:rsidR="00F262E6">
        <w:fldChar w:fldCharType="end"/>
      </w:r>
      <w:bookmarkEnd w:id="234"/>
      <w:r w:rsidRPr="00943E4B">
        <w:t>. Interruptible Gas Transportation Availability Model</w:t>
      </w:r>
      <w:bookmarkEnd w:id="235"/>
      <w:bookmarkEnd w:id="236"/>
    </w:p>
    <w:p w14:paraId="1C43B8CA" w14:textId="7D7C317B" w:rsidR="004B49A6" w:rsidRDefault="00FB7ACF" w:rsidP="00F77FF1">
      <w:pPr>
        <w:rPr>
          <w:szCs w:val="24"/>
        </w:rPr>
      </w:pPr>
      <w:r>
        <w:rPr>
          <w:szCs w:val="24"/>
        </w:rPr>
        <w:t xml:space="preserve">The model assumes that gas molecules are available to </w:t>
      </w:r>
      <w:r w:rsidR="0003789D">
        <w:rPr>
          <w:szCs w:val="24"/>
        </w:rPr>
        <w:t xml:space="preserve">fill </w:t>
      </w:r>
      <w:r>
        <w:rPr>
          <w:szCs w:val="24"/>
        </w:rPr>
        <w:t>all pipeline capacity in all hours but does not account for</w:t>
      </w:r>
      <w:r w:rsidR="0003789D">
        <w:rPr>
          <w:szCs w:val="24"/>
        </w:rPr>
        <w:t xml:space="preserve"> underground</w:t>
      </w:r>
      <w:r>
        <w:rPr>
          <w:szCs w:val="24"/>
        </w:rPr>
        <w:t xml:space="preserve"> gas storage </w:t>
      </w:r>
      <w:r w:rsidR="0003789D">
        <w:rPr>
          <w:szCs w:val="24"/>
        </w:rPr>
        <w:t xml:space="preserve">controlled by Southern Company. This storage is available to portions of the retail operating company fleet </w:t>
      </w:r>
      <w:r w:rsidR="0051300D">
        <w:rPr>
          <w:szCs w:val="24"/>
        </w:rPr>
        <w:t>depending on location and pipeline capacity availability should gas supplies get interrupted.</w:t>
      </w:r>
    </w:p>
    <w:p w14:paraId="6704D031" w14:textId="77777777" w:rsidR="00FB7ACF" w:rsidRPr="00943E4B" w:rsidRDefault="00FB7ACF" w:rsidP="00F77FF1">
      <w:pPr>
        <w:rPr>
          <w:szCs w:val="24"/>
        </w:rPr>
      </w:pPr>
    </w:p>
    <w:p w14:paraId="6D14CD09" w14:textId="77777777" w:rsidR="004B49A6" w:rsidRPr="00943E4B" w:rsidRDefault="004B49A6" w:rsidP="00C56A27">
      <w:pPr>
        <w:pStyle w:val="Heading2"/>
        <w:numPr>
          <w:ilvl w:val="1"/>
          <w:numId w:val="13"/>
        </w:numPr>
        <w:ind w:left="360"/>
      </w:pPr>
      <w:bookmarkStart w:id="237" w:name="_Toc513710345"/>
      <w:bookmarkStart w:id="238" w:name="_Ref175041857"/>
      <w:bookmarkStart w:id="239" w:name="_Toc187234607"/>
      <w:r w:rsidRPr="00943E4B">
        <w:t>Oil Availability</w:t>
      </w:r>
      <w:bookmarkEnd w:id="237"/>
      <w:bookmarkEnd w:id="238"/>
      <w:bookmarkEnd w:id="239"/>
    </w:p>
    <w:p w14:paraId="520AC030" w14:textId="7B5D8673" w:rsidR="004B49A6" w:rsidRDefault="004B49A6" w:rsidP="00F77FF1">
      <w:r>
        <w:t xml:space="preserve">For dual-fuel (gas/oil) and oil-fired units, oil availability is dependent </w:t>
      </w:r>
      <w:r w:rsidR="00EA3E93">
        <w:t>up</w:t>
      </w:r>
      <w:r>
        <w:t xml:space="preserve">on onsite storage. Storage capacity is limited, so when gas is not available, onsite oil supply will deplete quickly. This may limit a unit’s availability if </w:t>
      </w:r>
      <w:r w:rsidR="44DFF7B6">
        <w:t xml:space="preserve">onsite storage </w:t>
      </w:r>
      <w:r>
        <w:t>refilling efforts cannot keep up with usage.</w:t>
      </w:r>
    </w:p>
    <w:p w14:paraId="017BDD43" w14:textId="77777777" w:rsidR="004B49A6" w:rsidRDefault="004B49A6" w:rsidP="00F77FF1">
      <w:pPr>
        <w:rPr>
          <w:szCs w:val="24"/>
        </w:rPr>
      </w:pPr>
    </w:p>
    <w:p w14:paraId="07E4156E" w14:textId="77777777" w:rsidR="004B49A6" w:rsidRPr="00421157" w:rsidRDefault="004B49A6" w:rsidP="00C56A27">
      <w:pPr>
        <w:pStyle w:val="Heading2"/>
        <w:numPr>
          <w:ilvl w:val="1"/>
          <w:numId w:val="13"/>
        </w:numPr>
        <w:ind w:left="360"/>
      </w:pPr>
      <w:bookmarkStart w:id="240" w:name="_Toc513710346"/>
      <w:bookmarkStart w:id="241" w:name="_Toc187234608"/>
      <w:r w:rsidRPr="00DB641B">
        <w:t>Capacity Cost</w:t>
      </w:r>
      <w:bookmarkEnd w:id="224"/>
      <w:bookmarkEnd w:id="225"/>
      <w:bookmarkEnd w:id="226"/>
      <w:bookmarkEnd w:id="227"/>
      <w:bookmarkEnd w:id="240"/>
      <w:bookmarkEnd w:id="241"/>
    </w:p>
    <w:p w14:paraId="5416D861" w14:textId="705248E4" w:rsidR="004B49A6" w:rsidRPr="00943E4B" w:rsidRDefault="004B49A6" w:rsidP="00DB641B">
      <w:r>
        <w:t>For the type of analysis performed in this study</w:t>
      </w:r>
      <w:r w:rsidR="00496713">
        <w:t>,</w:t>
      </w:r>
      <w:r>
        <w:t xml:space="preserve"> where the objective is to balance the cost of the incremental capacity with the reliability benefits achieved by that capacity addition, it is necessary that the capacity considered represents a true reliability addition, </w:t>
      </w:r>
      <w:r w:rsidR="00496713">
        <w:t>as opposed to</w:t>
      </w:r>
      <w:r>
        <w:t xml:space="preserve"> an addition for both reliability and energy economics. As such, simple-cycle CT technologies are the appropriate resources to be utilized for the evaluation. Therefore, the cost associated with advancing a CT one year is the cost of capacity used in the analysis. This cost is also known as the </w:t>
      </w:r>
      <w:r w:rsidR="008E2FDE">
        <w:t>“</w:t>
      </w:r>
      <w:r>
        <w:t>economic carrying cost</w:t>
      </w:r>
      <w:r w:rsidR="008E2FDE">
        <w:t>”</w:t>
      </w:r>
      <w:r>
        <w:t xml:space="preserve"> or one-year deferral </w:t>
      </w:r>
      <w:r w:rsidR="003E4C54">
        <w:t>cost associated with that resource</w:t>
      </w:r>
      <w:r>
        <w:t>. Since both summer and winter evaluations were performed in the 20</w:t>
      </w:r>
      <w:r w:rsidR="00EC1721">
        <w:t>2</w:t>
      </w:r>
      <w:r w:rsidR="00537C95">
        <w:t>4</w:t>
      </w:r>
      <w:r>
        <w:t xml:space="preserve"> Reserve Margin Study, economic carrying costs based on both summer and winter performance characteristics were needed. </w:t>
      </w:r>
      <w:bookmarkStart w:id="242" w:name="_Hlk165553479"/>
      <w:r>
        <w:t xml:space="preserve">The CT cost model is a </w:t>
      </w:r>
      <w:r w:rsidR="00364858" w:rsidRPr="002E210C">
        <w:rPr>
          <w:b/>
          <w:bCs/>
        </w:rPr>
        <w:t>REDACTED</w:t>
      </w:r>
      <w:r w:rsidR="002E210C">
        <w:t xml:space="preserve"> </w:t>
      </w:r>
      <w:r w:rsidR="002E210C" w:rsidRPr="002E210C">
        <w:rPr>
          <w:b/>
          <w:bCs/>
        </w:rPr>
        <w:t>REDACTED</w:t>
      </w:r>
      <w:r w:rsidR="002E210C">
        <w:rPr>
          <w:b/>
          <w:bCs/>
        </w:rPr>
        <w:t xml:space="preserve"> </w:t>
      </w:r>
      <w:r w:rsidR="002E210C" w:rsidRPr="002E210C">
        <w:rPr>
          <w:b/>
          <w:bCs/>
        </w:rPr>
        <w:t>REDACTED</w:t>
      </w:r>
      <w:r w:rsidR="002E210C">
        <w:rPr>
          <w:b/>
          <w:bCs/>
        </w:rPr>
        <w:t xml:space="preserve"> </w:t>
      </w:r>
      <w:r w:rsidR="002E210C" w:rsidRPr="002E210C">
        <w:rPr>
          <w:b/>
          <w:bCs/>
        </w:rPr>
        <w:t>REDACTED</w:t>
      </w:r>
      <w:r w:rsidR="002E210C">
        <w:rPr>
          <w:b/>
          <w:bCs/>
        </w:rPr>
        <w:t xml:space="preserve"> </w:t>
      </w:r>
      <w:r w:rsidR="002E210C" w:rsidRPr="002E210C">
        <w:rPr>
          <w:b/>
          <w:bCs/>
        </w:rPr>
        <w:t>REDACTED</w:t>
      </w:r>
      <w:r w:rsidR="2DE14C4F">
        <w:t>.</w:t>
      </w:r>
      <w:r>
        <w:t xml:space="preserve"> </w:t>
      </w:r>
      <w:r w:rsidR="418FE70F">
        <w:t>E</w:t>
      </w:r>
      <w:r>
        <w:t>ach</w:t>
      </w:r>
      <w:r w:rsidR="7A962274">
        <w:t xml:space="preserve"> CT</w:t>
      </w:r>
      <w:r w:rsidR="00B437E3">
        <w:t xml:space="preserve"> is modeled with </w:t>
      </w:r>
      <w:r w:rsidR="7A962274">
        <w:t>a 383 MW</w:t>
      </w:r>
      <w:bookmarkEnd w:id="242"/>
      <w:r>
        <w:t xml:space="preserve"> </w:t>
      </w:r>
      <w:r w:rsidR="00537C95">
        <w:t xml:space="preserve">winter and summer </w:t>
      </w:r>
      <w:r w:rsidR="00E42619">
        <w:t>rating</w:t>
      </w:r>
      <w:r w:rsidR="008D0D5B">
        <w:t xml:space="preserve"> and</w:t>
      </w:r>
      <w:r>
        <w:t xml:space="preserve"> economic carrying cost</w:t>
      </w:r>
      <w:r w:rsidR="008D0D5B">
        <w:t>s</w:t>
      </w:r>
      <w:r>
        <w:t xml:space="preserve"> in 202</w:t>
      </w:r>
      <w:r w:rsidR="00537C95">
        <w:t>8</w:t>
      </w:r>
      <w:r>
        <w:t xml:space="preserve"> dollars of </w:t>
      </w:r>
      <w:r w:rsidR="00364858" w:rsidRPr="00780540">
        <w:rPr>
          <w:b/>
          <w:bCs/>
          <w:sz w:val="14"/>
          <w:szCs w:val="14"/>
        </w:rPr>
        <w:t>REDACTED</w:t>
      </w:r>
      <w:r w:rsidR="00E16922" w:rsidRPr="00780540">
        <w:rPr>
          <w:sz w:val="14"/>
          <w:szCs w:val="14"/>
        </w:rPr>
        <w:t xml:space="preserve"> </w:t>
      </w:r>
      <w:r w:rsidR="009F77DD" w:rsidRPr="00780540">
        <w:rPr>
          <w:b/>
          <w:bCs/>
          <w:sz w:val="14"/>
          <w:szCs w:val="14"/>
        </w:rPr>
        <w:t>REDACTED</w:t>
      </w:r>
      <w:r w:rsidR="009F77DD" w:rsidRPr="00780540">
        <w:rPr>
          <w:sz w:val="22"/>
          <w:szCs w:val="22"/>
        </w:rPr>
        <w:t xml:space="preserve"> </w:t>
      </w:r>
      <w:r w:rsidR="00E16922">
        <w:t xml:space="preserve">for the winter study and </w:t>
      </w:r>
      <w:r w:rsidR="00364858" w:rsidRPr="00780540">
        <w:rPr>
          <w:b/>
          <w:bCs/>
          <w:sz w:val="14"/>
          <w:szCs w:val="14"/>
        </w:rPr>
        <w:t>REDACTED</w:t>
      </w:r>
      <w:r w:rsidR="00E16922" w:rsidRPr="00780540">
        <w:rPr>
          <w:color w:val="000000" w:themeColor="text1"/>
          <w:sz w:val="14"/>
          <w:szCs w:val="14"/>
        </w:rPr>
        <w:t xml:space="preserve"> </w:t>
      </w:r>
      <w:r w:rsidR="00780540" w:rsidRPr="00FC4C18">
        <w:rPr>
          <w:b/>
          <w:bCs/>
          <w:sz w:val="10"/>
          <w:szCs w:val="10"/>
        </w:rPr>
        <w:t>REDACTED</w:t>
      </w:r>
      <w:r w:rsidR="00780540" w:rsidRPr="00FC4C18">
        <w:rPr>
          <w:color w:val="000000" w:themeColor="text1"/>
          <w:sz w:val="18"/>
          <w:szCs w:val="18"/>
        </w:rPr>
        <w:t xml:space="preserve"> </w:t>
      </w:r>
      <w:r w:rsidR="00E16922" w:rsidRPr="052CF163">
        <w:rPr>
          <w:color w:val="000000" w:themeColor="text1"/>
        </w:rPr>
        <w:t>for the summer study.</w:t>
      </w:r>
      <w:r w:rsidR="00933469">
        <w:rPr>
          <w:color w:val="000000" w:themeColor="text1"/>
        </w:rPr>
        <w:t xml:space="preserve"> The </w:t>
      </w:r>
      <w:r w:rsidR="00364858" w:rsidRPr="00FC4C18">
        <w:rPr>
          <w:b/>
          <w:bCs/>
          <w:color w:val="000000" w:themeColor="text1"/>
          <w:sz w:val="10"/>
          <w:szCs w:val="10"/>
        </w:rPr>
        <w:t>REDACTED</w:t>
      </w:r>
      <w:r w:rsidR="00933469" w:rsidRPr="00FC4C18">
        <w:rPr>
          <w:color w:val="000000" w:themeColor="text1"/>
          <w:sz w:val="22"/>
          <w:szCs w:val="22"/>
        </w:rPr>
        <w:t xml:space="preserve"> </w:t>
      </w:r>
      <w:r w:rsidR="00933469">
        <w:rPr>
          <w:color w:val="000000" w:themeColor="text1"/>
        </w:rPr>
        <w:t>winter carrying cost is due to the expansion CT being capable of higher output at its winter 40°F rating as compared to its lower summer 95°F rating.</w:t>
      </w:r>
    </w:p>
    <w:p w14:paraId="0B77E828" w14:textId="77777777" w:rsidR="004B49A6" w:rsidRPr="00943E4B" w:rsidRDefault="004B49A6" w:rsidP="00E22A8D">
      <w:bookmarkStart w:id="243" w:name="_Toc440257870"/>
      <w:bookmarkStart w:id="244" w:name="_Toc440260752"/>
      <w:bookmarkStart w:id="245" w:name="_Toc440262216"/>
      <w:bookmarkStart w:id="246" w:name="_Toc222110693"/>
      <w:bookmarkEnd w:id="243"/>
      <w:bookmarkEnd w:id="244"/>
      <w:bookmarkEnd w:id="245"/>
    </w:p>
    <w:p w14:paraId="1211F956" w14:textId="77777777" w:rsidR="004B49A6" w:rsidRPr="00943E4B" w:rsidRDefault="004B49A6" w:rsidP="00C56A27">
      <w:pPr>
        <w:pStyle w:val="Heading2"/>
        <w:numPr>
          <w:ilvl w:val="1"/>
          <w:numId w:val="13"/>
        </w:numPr>
        <w:ind w:left="360"/>
      </w:pPr>
      <w:bookmarkStart w:id="247" w:name="_Toc222110694"/>
      <w:bookmarkStart w:id="248" w:name="_Toc440262218"/>
      <w:bookmarkStart w:id="249" w:name="_Toc440447889"/>
      <w:bookmarkStart w:id="250" w:name="_Toc440457938"/>
      <w:bookmarkStart w:id="251" w:name="_Toc513710347"/>
      <w:bookmarkStart w:id="252" w:name="_Ref179187760"/>
      <w:bookmarkStart w:id="253" w:name="_Ref179187779"/>
      <w:bookmarkStart w:id="254" w:name="_Toc187234609"/>
      <w:bookmarkEnd w:id="246"/>
      <w:r w:rsidRPr="00943E4B">
        <w:t>Cost of Expected Unserved Energy</w:t>
      </w:r>
      <w:bookmarkEnd w:id="247"/>
      <w:bookmarkEnd w:id="248"/>
      <w:bookmarkEnd w:id="249"/>
      <w:bookmarkEnd w:id="250"/>
      <w:bookmarkEnd w:id="251"/>
      <w:bookmarkEnd w:id="252"/>
      <w:bookmarkEnd w:id="253"/>
      <w:bookmarkEnd w:id="254"/>
    </w:p>
    <w:p w14:paraId="56971190" w14:textId="2E27646C" w:rsidR="004B49A6" w:rsidRDefault="004B49A6" w:rsidP="00217F0E">
      <w:r w:rsidRPr="00943E4B">
        <w:t>To estimate the cost of EUE, Freeman</w:t>
      </w:r>
      <w:r>
        <w:t>,</w:t>
      </w:r>
      <w:r w:rsidRPr="00124600">
        <w:t xml:space="preserve"> Sullivan &amp; Company conducted an outage cost survey of G</w:t>
      </w:r>
      <w:r w:rsidR="00AC0A19">
        <w:t>eorgia Power Company</w:t>
      </w:r>
      <w:r w:rsidRPr="00124600">
        <w:t xml:space="preserve"> and Mississippi Power Company customers in 2011</w:t>
      </w:r>
      <w:r w:rsidR="00446413">
        <w:t>.</w:t>
      </w:r>
      <w:r w:rsidR="00CB704B">
        <w:rPr>
          <w:rStyle w:val="FootnoteReference"/>
        </w:rPr>
        <w:footnoteReference w:id="15"/>
      </w:r>
      <w:r w:rsidR="00464F75">
        <w:t xml:space="preserve"> </w:t>
      </w:r>
      <w:r w:rsidR="00CB704B">
        <w:t>The analysis</w:t>
      </w:r>
      <w:r w:rsidR="007A0929">
        <w:t xml:space="preserve"> of the survey results</w:t>
      </w:r>
      <w:r w:rsidR="00CB704B">
        <w:t xml:space="preserve"> was</w:t>
      </w:r>
      <w:r w:rsidR="00464F75">
        <w:t xml:space="preserve"> updated in September 2020 by The Brattle Group.</w:t>
      </w:r>
      <w:r w:rsidRPr="00124600">
        <w:t xml:space="preserve"> This survey was conducted among the following four customer classes:</w:t>
      </w:r>
    </w:p>
    <w:p w14:paraId="38444339" w14:textId="77777777" w:rsidR="00446413" w:rsidRPr="00124600" w:rsidRDefault="00446413" w:rsidP="00217F0E"/>
    <w:p w14:paraId="7C89996D" w14:textId="62EA299B" w:rsidR="004B49A6" w:rsidRPr="00421157" w:rsidRDefault="004B49A6" w:rsidP="00C56A27">
      <w:pPr>
        <w:pStyle w:val="ListParagraph"/>
        <w:numPr>
          <w:ilvl w:val="0"/>
          <w:numId w:val="5"/>
        </w:numPr>
        <w:rPr>
          <w:szCs w:val="24"/>
        </w:rPr>
      </w:pPr>
      <w:r w:rsidRPr="00421157">
        <w:rPr>
          <w:szCs w:val="24"/>
        </w:rPr>
        <w:t>Residential</w:t>
      </w:r>
    </w:p>
    <w:p w14:paraId="45CFDBD0" w14:textId="4D196951" w:rsidR="004B49A6" w:rsidRPr="00B138F0" w:rsidRDefault="004B49A6" w:rsidP="00C56A27">
      <w:pPr>
        <w:pStyle w:val="ListParagraph"/>
        <w:numPr>
          <w:ilvl w:val="0"/>
          <w:numId w:val="5"/>
        </w:numPr>
        <w:rPr>
          <w:szCs w:val="24"/>
        </w:rPr>
      </w:pPr>
      <w:r w:rsidRPr="00421157">
        <w:rPr>
          <w:szCs w:val="24"/>
        </w:rPr>
        <w:t>Commercial (below 1 MW average demand)</w:t>
      </w:r>
    </w:p>
    <w:p w14:paraId="5230A615" w14:textId="550572FE" w:rsidR="004B49A6" w:rsidRPr="00372AC4" w:rsidRDefault="004B49A6" w:rsidP="00C56A27">
      <w:pPr>
        <w:pStyle w:val="ListParagraph"/>
        <w:numPr>
          <w:ilvl w:val="0"/>
          <w:numId w:val="5"/>
        </w:numPr>
        <w:rPr>
          <w:szCs w:val="24"/>
        </w:rPr>
      </w:pPr>
      <w:r w:rsidRPr="00372AC4">
        <w:rPr>
          <w:szCs w:val="24"/>
        </w:rPr>
        <w:t>Industrial (below 1 MW average demand)</w:t>
      </w:r>
    </w:p>
    <w:p w14:paraId="2F606692" w14:textId="4C4B0FB3" w:rsidR="004B49A6" w:rsidRDefault="004B49A6" w:rsidP="00C56A27">
      <w:pPr>
        <w:pStyle w:val="ListParagraph"/>
        <w:numPr>
          <w:ilvl w:val="0"/>
          <w:numId w:val="5"/>
        </w:numPr>
        <w:rPr>
          <w:szCs w:val="24"/>
        </w:rPr>
      </w:pPr>
      <w:r w:rsidRPr="00372AC4">
        <w:rPr>
          <w:szCs w:val="24"/>
        </w:rPr>
        <w:t>Large business (commercial and industrial customers above 1 MW average demand)</w:t>
      </w:r>
    </w:p>
    <w:p w14:paraId="204BBAF2" w14:textId="77777777" w:rsidR="004B49A6" w:rsidRPr="00F4502C" w:rsidRDefault="004B49A6" w:rsidP="00DB641B">
      <w:pPr>
        <w:ind w:left="360"/>
        <w:rPr>
          <w:szCs w:val="24"/>
        </w:rPr>
      </w:pPr>
    </w:p>
    <w:p w14:paraId="144F8978" w14:textId="6C44E834" w:rsidR="004B49A6" w:rsidRDefault="004B49A6" w:rsidP="00DB641B">
      <w:pPr>
        <w:rPr>
          <w:szCs w:val="24"/>
        </w:rPr>
      </w:pPr>
      <w:r w:rsidRPr="00372AC4">
        <w:rPr>
          <w:rFonts w:eastAsia="Calibri"/>
          <w:szCs w:val="24"/>
        </w:rPr>
        <w:t xml:space="preserve">The cost of EUE </w:t>
      </w:r>
      <w:r w:rsidR="003E4C54">
        <w:rPr>
          <w:rFonts w:eastAsia="Calibri"/>
          <w:szCs w:val="24"/>
        </w:rPr>
        <w:t>(in 20</w:t>
      </w:r>
      <w:r w:rsidR="00464F75">
        <w:rPr>
          <w:rFonts w:eastAsia="Calibri"/>
          <w:szCs w:val="24"/>
        </w:rPr>
        <w:t>2</w:t>
      </w:r>
      <w:r w:rsidR="00D21721">
        <w:rPr>
          <w:rFonts w:eastAsia="Calibri"/>
          <w:szCs w:val="24"/>
        </w:rPr>
        <w:t>8</w:t>
      </w:r>
      <w:r w:rsidR="003E4C54">
        <w:rPr>
          <w:rFonts w:eastAsia="Calibri"/>
          <w:szCs w:val="24"/>
        </w:rPr>
        <w:t xml:space="preserve">$) </w:t>
      </w:r>
      <w:r w:rsidRPr="00372AC4">
        <w:rPr>
          <w:rFonts w:eastAsia="Calibri"/>
          <w:szCs w:val="24"/>
        </w:rPr>
        <w:t xml:space="preserve">for these </w:t>
      </w:r>
      <w:r w:rsidRPr="00372AC4">
        <w:rPr>
          <w:szCs w:val="24"/>
        </w:rPr>
        <w:t xml:space="preserve">four customer classes is shown in </w:t>
      </w:r>
      <w:r w:rsidR="007009BB">
        <w:rPr>
          <w:szCs w:val="24"/>
        </w:rPr>
        <w:fldChar w:fldCharType="begin"/>
      </w:r>
      <w:r w:rsidR="007009BB">
        <w:rPr>
          <w:szCs w:val="24"/>
        </w:rPr>
        <w:instrText xml:space="preserve"> REF _Ref513785933 \h </w:instrText>
      </w:r>
      <w:r w:rsidR="007009BB">
        <w:rPr>
          <w:szCs w:val="24"/>
        </w:rPr>
      </w:r>
      <w:r w:rsidR="007009BB">
        <w:rPr>
          <w:szCs w:val="24"/>
        </w:rPr>
        <w:fldChar w:fldCharType="separate"/>
      </w:r>
      <w:r w:rsidR="007C693D">
        <w:t xml:space="preserve">Table </w:t>
      </w:r>
      <w:r w:rsidR="007C693D">
        <w:rPr>
          <w:noProof/>
        </w:rPr>
        <w:t>I</w:t>
      </w:r>
      <w:r w:rsidR="007C693D">
        <w:noBreakHyphen/>
      </w:r>
      <w:r w:rsidR="007C693D">
        <w:rPr>
          <w:noProof/>
        </w:rPr>
        <w:t>9</w:t>
      </w:r>
      <w:r w:rsidR="007009BB">
        <w:rPr>
          <w:szCs w:val="24"/>
        </w:rPr>
        <w:fldChar w:fldCharType="end"/>
      </w:r>
      <w:r w:rsidR="00F621A0">
        <w:rPr>
          <w:szCs w:val="24"/>
        </w:rPr>
        <w:t xml:space="preserve"> below</w:t>
      </w:r>
      <w:r>
        <w:rPr>
          <w:szCs w:val="24"/>
        </w:rPr>
        <w:t xml:space="preserve"> for both the summer and winter periods</w:t>
      </w:r>
      <w:r w:rsidRPr="00372AC4">
        <w:rPr>
          <w:szCs w:val="24"/>
        </w:rPr>
        <w:t>.</w:t>
      </w:r>
      <w:r>
        <w:rPr>
          <w:szCs w:val="24"/>
        </w:rPr>
        <w:t xml:space="preserve"> </w:t>
      </w:r>
      <w:bookmarkStart w:id="255" w:name="_Hlk534630125"/>
      <w:r w:rsidR="000366A9">
        <w:rPr>
          <w:szCs w:val="24"/>
        </w:rPr>
        <w:t>The</w:t>
      </w:r>
      <w:r w:rsidRPr="00421157">
        <w:rPr>
          <w:szCs w:val="24"/>
        </w:rPr>
        <w:t xml:space="preserve"> cost of EUE was </w:t>
      </w:r>
      <w:r w:rsidR="000366A9">
        <w:rPr>
          <w:szCs w:val="24"/>
        </w:rPr>
        <w:t xml:space="preserve">then </w:t>
      </w:r>
      <w:r w:rsidRPr="00421157">
        <w:rPr>
          <w:szCs w:val="24"/>
        </w:rPr>
        <w:t>adjusted</w:t>
      </w:r>
      <w:bookmarkEnd w:id="255"/>
      <w:r w:rsidRPr="00421157">
        <w:rPr>
          <w:szCs w:val="24"/>
        </w:rPr>
        <w:t xml:space="preserve"> by the </w:t>
      </w:r>
      <w:r>
        <w:rPr>
          <w:szCs w:val="24"/>
        </w:rPr>
        <w:t xml:space="preserve">customer weighting factor representing </w:t>
      </w:r>
      <w:r w:rsidR="006A76DB">
        <w:rPr>
          <w:szCs w:val="24"/>
        </w:rPr>
        <w:t>recent</w:t>
      </w:r>
      <w:r w:rsidR="005D4B3E">
        <w:rPr>
          <w:szCs w:val="24"/>
        </w:rPr>
        <w:t xml:space="preserve"> </w:t>
      </w:r>
      <w:r>
        <w:rPr>
          <w:szCs w:val="24"/>
        </w:rPr>
        <w:t xml:space="preserve">relative weighting of customers in </w:t>
      </w:r>
      <w:r w:rsidRPr="005E55DE">
        <w:rPr>
          <w:szCs w:val="24"/>
        </w:rPr>
        <w:t xml:space="preserve">that class. The results of that weighting </w:t>
      </w:r>
      <w:r w:rsidR="008A048D">
        <w:rPr>
          <w:szCs w:val="24"/>
        </w:rPr>
        <w:t>are</w:t>
      </w:r>
      <w:r w:rsidRPr="005E55DE">
        <w:rPr>
          <w:szCs w:val="24"/>
        </w:rPr>
        <w:t xml:space="preserve"> also shown.</w:t>
      </w:r>
    </w:p>
    <w:p w14:paraId="2DB62443" w14:textId="77777777" w:rsidR="00D676CA" w:rsidRDefault="00D676CA" w:rsidP="00DB641B">
      <w:pPr>
        <w:rPr>
          <w:szCs w:val="24"/>
        </w:rPr>
      </w:pPr>
    </w:p>
    <w:p w14:paraId="6498AA47" w14:textId="5047E7C4" w:rsidR="0053151C" w:rsidRDefault="0053151C" w:rsidP="0053151C">
      <w:pPr>
        <w:pStyle w:val="Caption"/>
        <w:keepNext/>
      </w:pPr>
      <w:bookmarkStart w:id="256" w:name="_Ref513785933"/>
      <w:bookmarkStart w:id="257" w:name="_Toc513710537"/>
      <w:bookmarkStart w:id="258" w:name="_Toc187234644"/>
      <w:r>
        <w:t xml:space="preserve">Table </w:t>
      </w:r>
      <w:r w:rsidR="00161C58">
        <w:fldChar w:fldCharType="begin"/>
      </w:r>
      <w:r w:rsidR="00161C58">
        <w:instrText xml:space="preserve"> STYLEREF 1 \s </w:instrText>
      </w:r>
      <w:r w:rsidR="00161C58">
        <w:fldChar w:fldCharType="separate"/>
      </w:r>
      <w:r w:rsidR="00D21721">
        <w:rPr>
          <w:noProof/>
        </w:rPr>
        <w:t>I</w:t>
      </w:r>
      <w:r w:rsidR="00161C58">
        <w:rPr>
          <w:noProof/>
        </w:rPr>
        <w:fldChar w:fldCharType="end"/>
      </w:r>
      <w:r w:rsidR="00922797">
        <w:noBreakHyphen/>
      </w:r>
      <w:r w:rsidR="00161C58">
        <w:fldChar w:fldCharType="begin"/>
      </w:r>
      <w:r w:rsidR="00161C58">
        <w:instrText xml:space="preserve"> SEQ Table \* ARABIC \s 1 </w:instrText>
      </w:r>
      <w:r w:rsidR="00161C58">
        <w:fldChar w:fldCharType="separate"/>
      </w:r>
      <w:r w:rsidR="007C693D">
        <w:rPr>
          <w:noProof/>
        </w:rPr>
        <w:t>9</w:t>
      </w:r>
      <w:r w:rsidR="00161C58">
        <w:rPr>
          <w:noProof/>
        </w:rPr>
        <w:fldChar w:fldCharType="end"/>
      </w:r>
      <w:bookmarkEnd w:id="256"/>
      <w:r>
        <w:t>. EUE Cost</w:t>
      </w:r>
      <w:bookmarkEnd w:id="257"/>
      <w:bookmarkEnd w:id="258"/>
    </w:p>
    <w:tbl>
      <w:tblPr>
        <w:tblW w:w="9260" w:type="dxa"/>
        <w:jc w:val="center"/>
        <w:tblLook w:val="04A0" w:firstRow="1" w:lastRow="0" w:firstColumn="1" w:lastColumn="0" w:noHBand="0" w:noVBand="1"/>
      </w:tblPr>
      <w:tblGrid>
        <w:gridCol w:w="2386"/>
        <w:gridCol w:w="1283"/>
        <w:gridCol w:w="1361"/>
        <w:gridCol w:w="1350"/>
        <w:gridCol w:w="1260"/>
        <w:gridCol w:w="1620"/>
      </w:tblGrid>
      <w:tr w:rsidR="00D676CA" w:rsidRPr="00D676CA" w14:paraId="2E9A2CCC" w14:textId="77777777" w:rsidTr="008270B5">
        <w:trPr>
          <w:trHeight w:val="315"/>
          <w:jc w:val="center"/>
        </w:trPr>
        <w:tc>
          <w:tcPr>
            <w:tcW w:w="9260" w:type="dxa"/>
            <w:gridSpan w:val="6"/>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6952F552" w14:textId="77777777" w:rsidR="00D676CA" w:rsidRPr="00D676CA" w:rsidRDefault="00D676CA" w:rsidP="00D676CA">
            <w:pPr>
              <w:spacing w:line="240" w:lineRule="auto"/>
              <w:rPr>
                <w:rFonts w:cs="Arial"/>
                <w:b/>
                <w:bCs/>
                <w:color w:val="000000"/>
                <w:sz w:val="20"/>
                <w:szCs w:val="20"/>
              </w:rPr>
            </w:pPr>
            <w:r w:rsidRPr="00D676CA">
              <w:rPr>
                <w:rFonts w:cs="Arial"/>
                <w:b/>
                <w:bCs/>
                <w:color w:val="000000"/>
                <w:sz w:val="20"/>
                <w:szCs w:val="20"/>
              </w:rPr>
              <w:t>EUE COST IN 2028 $</w:t>
            </w:r>
          </w:p>
        </w:tc>
      </w:tr>
      <w:tr w:rsidR="00D676CA" w:rsidRPr="00D676CA" w14:paraId="5A513A9B" w14:textId="77777777" w:rsidTr="008270B5">
        <w:trPr>
          <w:trHeight w:val="780"/>
          <w:jc w:val="center"/>
        </w:trPr>
        <w:tc>
          <w:tcPr>
            <w:tcW w:w="2386" w:type="dxa"/>
            <w:tcBorders>
              <w:top w:val="nil"/>
              <w:left w:val="single" w:sz="8" w:space="0" w:color="auto"/>
              <w:bottom w:val="single" w:sz="8" w:space="0" w:color="auto"/>
              <w:right w:val="single" w:sz="8" w:space="0" w:color="auto"/>
            </w:tcBorders>
            <w:shd w:val="clear" w:color="auto" w:fill="auto"/>
            <w:vAlign w:val="center"/>
            <w:hideMark/>
          </w:tcPr>
          <w:p w14:paraId="6BB55810" w14:textId="77777777" w:rsidR="00D676CA" w:rsidRPr="00D676CA" w:rsidRDefault="00D676CA" w:rsidP="00D676CA">
            <w:pPr>
              <w:spacing w:line="240" w:lineRule="auto"/>
              <w:jc w:val="center"/>
              <w:rPr>
                <w:rFonts w:cs="Arial"/>
                <w:b/>
                <w:bCs/>
                <w:color w:val="000000"/>
                <w:sz w:val="20"/>
                <w:szCs w:val="20"/>
              </w:rPr>
            </w:pPr>
            <w:r w:rsidRPr="00D676CA">
              <w:rPr>
                <w:rFonts w:cs="Arial"/>
                <w:b/>
                <w:bCs/>
                <w:color w:val="000000"/>
                <w:sz w:val="20"/>
                <w:szCs w:val="20"/>
              </w:rPr>
              <w:t>Outage Scenario</w:t>
            </w:r>
          </w:p>
        </w:tc>
        <w:tc>
          <w:tcPr>
            <w:tcW w:w="1283" w:type="dxa"/>
            <w:tcBorders>
              <w:top w:val="nil"/>
              <w:left w:val="nil"/>
              <w:bottom w:val="single" w:sz="8" w:space="0" w:color="auto"/>
              <w:right w:val="single" w:sz="8" w:space="0" w:color="auto"/>
            </w:tcBorders>
            <w:shd w:val="clear" w:color="auto" w:fill="auto"/>
            <w:vAlign w:val="center"/>
            <w:hideMark/>
          </w:tcPr>
          <w:p w14:paraId="2700425E" w14:textId="77777777" w:rsidR="00D676CA" w:rsidRPr="00D676CA" w:rsidRDefault="00D676CA" w:rsidP="00D676CA">
            <w:pPr>
              <w:spacing w:line="240" w:lineRule="auto"/>
              <w:jc w:val="center"/>
              <w:rPr>
                <w:rFonts w:cs="Arial"/>
                <w:b/>
                <w:bCs/>
                <w:color w:val="000000"/>
                <w:sz w:val="20"/>
                <w:szCs w:val="20"/>
              </w:rPr>
            </w:pPr>
            <w:r w:rsidRPr="00D676CA">
              <w:rPr>
                <w:rFonts w:cs="Arial"/>
                <w:b/>
                <w:bCs/>
                <w:color w:val="000000"/>
                <w:sz w:val="20"/>
                <w:szCs w:val="20"/>
              </w:rPr>
              <w:t>Residential ($/kWh)</w:t>
            </w:r>
          </w:p>
        </w:tc>
        <w:tc>
          <w:tcPr>
            <w:tcW w:w="1361" w:type="dxa"/>
            <w:tcBorders>
              <w:top w:val="nil"/>
              <w:left w:val="nil"/>
              <w:bottom w:val="single" w:sz="8" w:space="0" w:color="auto"/>
              <w:right w:val="single" w:sz="8" w:space="0" w:color="auto"/>
            </w:tcBorders>
            <w:shd w:val="clear" w:color="auto" w:fill="auto"/>
            <w:vAlign w:val="center"/>
            <w:hideMark/>
          </w:tcPr>
          <w:p w14:paraId="4FFEE0FF" w14:textId="77777777" w:rsidR="00D676CA" w:rsidRPr="00D676CA" w:rsidRDefault="00D676CA" w:rsidP="00D676CA">
            <w:pPr>
              <w:spacing w:line="240" w:lineRule="auto"/>
              <w:jc w:val="center"/>
              <w:rPr>
                <w:rFonts w:cs="Arial"/>
                <w:b/>
                <w:bCs/>
                <w:color w:val="000000"/>
                <w:sz w:val="20"/>
                <w:szCs w:val="20"/>
              </w:rPr>
            </w:pPr>
            <w:r w:rsidRPr="00D676CA">
              <w:rPr>
                <w:rFonts w:cs="Arial"/>
                <w:b/>
                <w:bCs/>
                <w:color w:val="000000"/>
                <w:sz w:val="20"/>
                <w:szCs w:val="20"/>
              </w:rPr>
              <w:t>Commercial ($/kWh)</w:t>
            </w:r>
          </w:p>
        </w:tc>
        <w:tc>
          <w:tcPr>
            <w:tcW w:w="1350" w:type="dxa"/>
            <w:tcBorders>
              <w:top w:val="nil"/>
              <w:left w:val="nil"/>
              <w:bottom w:val="single" w:sz="8" w:space="0" w:color="auto"/>
              <w:right w:val="single" w:sz="8" w:space="0" w:color="auto"/>
            </w:tcBorders>
            <w:shd w:val="clear" w:color="auto" w:fill="auto"/>
            <w:vAlign w:val="center"/>
            <w:hideMark/>
          </w:tcPr>
          <w:p w14:paraId="000A701B" w14:textId="77777777" w:rsidR="00D676CA" w:rsidRPr="00D676CA" w:rsidRDefault="00D676CA" w:rsidP="00D676CA">
            <w:pPr>
              <w:spacing w:line="240" w:lineRule="auto"/>
              <w:jc w:val="center"/>
              <w:rPr>
                <w:rFonts w:cs="Arial"/>
                <w:b/>
                <w:bCs/>
                <w:color w:val="000000"/>
                <w:sz w:val="20"/>
                <w:szCs w:val="20"/>
              </w:rPr>
            </w:pPr>
            <w:r w:rsidRPr="00D676CA">
              <w:rPr>
                <w:rFonts w:cs="Arial"/>
                <w:b/>
                <w:bCs/>
                <w:color w:val="000000"/>
                <w:sz w:val="20"/>
                <w:szCs w:val="20"/>
              </w:rPr>
              <w:t>Industrial ($/kWh)</w:t>
            </w:r>
          </w:p>
        </w:tc>
        <w:tc>
          <w:tcPr>
            <w:tcW w:w="1260" w:type="dxa"/>
            <w:tcBorders>
              <w:top w:val="nil"/>
              <w:left w:val="nil"/>
              <w:bottom w:val="single" w:sz="8" w:space="0" w:color="auto"/>
              <w:right w:val="single" w:sz="8" w:space="0" w:color="auto"/>
            </w:tcBorders>
            <w:shd w:val="clear" w:color="auto" w:fill="auto"/>
            <w:vAlign w:val="center"/>
            <w:hideMark/>
          </w:tcPr>
          <w:p w14:paraId="2B7B6AA4" w14:textId="77777777" w:rsidR="00D676CA" w:rsidRPr="00D676CA" w:rsidRDefault="00D676CA" w:rsidP="00D676CA">
            <w:pPr>
              <w:spacing w:line="240" w:lineRule="auto"/>
              <w:jc w:val="center"/>
              <w:rPr>
                <w:rFonts w:cs="Arial"/>
                <w:b/>
                <w:bCs/>
                <w:color w:val="000000"/>
                <w:sz w:val="20"/>
                <w:szCs w:val="20"/>
              </w:rPr>
            </w:pPr>
            <w:r w:rsidRPr="00D676CA">
              <w:rPr>
                <w:rFonts w:cs="Arial"/>
                <w:b/>
                <w:bCs/>
                <w:color w:val="000000"/>
                <w:sz w:val="20"/>
                <w:szCs w:val="20"/>
              </w:rPr>
              <w:t>Large Business ($/kWh)</w:t>
            </w:r>
          </w:p>
        </w:tc>
        <w:tc>
          <w:tcPr>
            <w:tcW w:w="1620" w:type="dxa"/>
            <w:tcBorders>
              <w:top w:val="nil"/>
              <w:left w:val="nil"/>
              <w:bottom w:val="single" w:sz="8" w:space="0" w:color="auto"/>
              <w:right w:val="single" w:sz="8" w:space="0" w:color="auto"/>
            </w:tcBorders>
            <w:shd w:val="clear" w:color="auto" w:fill="auto"/>
            <w:vAlign w:val="center"/>
            <w:hideMark/>
          </w:tcPr>
          <w:p w14:paraId="38B6DD36" w14:textId="77777777" w:rsidR="00D676CA" w:rsidRPr="00D676CA" w:rsidRDefault="00D676CA" w:rsidP="00D676CA">
            <w:pPr>
              <w:spacing w:line="240" w:lineRule="auto"/>
              <w:jc w:val="center"/>
              <w:rPr>
                <w:rFonts w:cs="Arial"/>
                <w:b/>
                <w:bCs/>
                <w:color w:val="000000"/>
                <w:sz w:val="20"/>
                <w:szCs w:val="20"/>
              </w:rPr>
            </w:pPr>
            <w:r w:rsidRPr="00D676CA">
              <w:rPr>
                <w:rFonts w:cs="Arial"/>
                <w:b/>
                <w:bCs/>
                <w:color w:val="000000"/>
                <w:sz w:val="20"/>
                <w:szCs w:val="20"/>
              </w:rPr>
              <w:t>Weighted Average ($/kWh)</w:t>
            </w:r>
          </w:p>
        </w:tc>
      </w:tr>
      <w:tr w:rsidR="00D676CA" w:rsidRPr="00D676CA" w14:paraId="6B30956B" w14:textId="77777777" w:rsidTr="008270B5">
        <w:trPr>
          <w:trHeight w:val="315"/>
          <w:jc w:val="center"/>
        </w:trPr>
        <w:tc>
          <w:tcPr>
            <w:tcW w:w="2386" w:type="dxa"/>
            <w:tcBorders>
              <w:top w:val="nil"/>
              <w:left w:val="single" w:sz="8" w:space="0" w:color="auto"/>
              <w:bottom w:val="single" w:sz="8" w:space="0" w:color="auto"/>
              <w:right w:val="single" w:sz="8" w:space="0" w:color="auto"/>
            </w:tcBorders>
            <w:shd w:val="clear" w:color="auto" w:fill="auto"/>
            <w:vAlign w:val="center"/>
            <w:hideMark/>
          </w:tcPr>
          <w:p w14:paraId="79422BEA" w14:textId="77777777" w:rsidR="00D676CA" w:rsidRPr="00D676CA" w:rsidRDefault="00D676CA" w:rsidP="00D676CA">
            <w:pPr>
              <w:spacing w:line="240" w:lineRule="auto"/>
              <w:jc w:val="left"/>
              <w:rPr>
                <w:rFonts w:cs="Arial"/>
                <w:b/>
                <w:bCs/>
                <w:color w:val="000000"/>
                <w:sz w:val="20"/>
                <w:szCs w:val="20"/>
              </w:rPr>
            </w:pPr>
            <w:r w:rsidRPr="00D676CA">
              <w:rPr>
                <w:rFonts w:cs="Arial"/>
                <w:b/>
                <w:bCs/>
                <w:color w:val="000000"/>
                <w:sz w:val="20"/>
                <w:szCs w:val="20"/>
              </w:rPr>
              <w:t>Weighting Factor (%)</w:t>
            </w:r>
          </w:p>
        </w:tc>
        <w:tc>
          <w:tcPr>
            <w:tcW w:w="1283" w:type="dxa"/>
            <w:tcBorders>
              <w:top w:val="nil"/>
              <w:left w:val="nil"/>
              <w:bottom w:val="single" w:sz="8" w:space="0" w:color="auto"/>
              <w:right w:val="single" w:sz="8" w:space="0" w:color="auto"/>
            </w:tcBorders>
            <w:shd w:val="clear" w:color="auto" w:fill="auto"/>
            <w:noWrap/>
            <w:vAlign w:val="center"/>
            <w:hideMark/>
          </w:tcPr>
          <w:p w14:paraId="7A9BA784"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45.44%</w:t>
            </w:r>
          </w:p>
        </w:tc>
        <w:tc>
          <w:tcPr>
            <w:tcW w:w="1361" w:type="dxa"/>
            <w:tcBorders>
              <w:top w:val="nil"/>
              <w:left w:val="nil"/>
              <w:bottom w:val="single" w:sz="8" w:space="0" w:color="auto"/>
              <w:right w:val="single" w:sz="8" w:space="0" w:color="auto"/>
            </w:tcBorders>
            <w:shd w:val="clear" w:color="auto" w:fill="auto"/>
            <w:noWrap/>
            <w:vAlign w:val="center"/>
            <w:hideMark/>
          </w:tcPr>
          <w:p w14:paraId="4076685E"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22.03%</w:t>
            </w:r>
          </w:p>
        </w:tc>
        <w:tc>
          <w:tcPr>
            <w:tcW w:w="1350" w:type="dxa"/>
            <w:tcBorders>
              <w:top w:val="nil"/>
              <w:left w:val="nil"/>
              <w:bottom w:val="single" w:sz="8" w:space="0" w:color="auto"/>
              <w:right w:val="single" w:sz="8" w:space="0" w:color="auto"/>
            </w:tcBorders>
            <w:shd w:val="clear" w:color="auto" w:fill="auto"/>
            <w:noWrap/>
            <w:vAlign w:val="center"/>
            <w:hideMark/>
          </w:tcPr>
          <w:p w14:paraId="198EA9E7"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2.58%</w:t>
            </w:r>
          </w:p>
        </w:tc>
        <w:tc>
          <w:tcPr>
            <w:tcW w:w="1260" w:type="dxa"/>
            <w:tcBorders>
              <w:top w:val="nil"/>
              <w:left w:val="nil"/>
              <w:bottom w:val="single" w:sz="8" w:space="0" w:color="auto"/>
              <w:right w:val="single" w:sz="8" w:space="0" w:color="auto"/>
            </w:tcBorders>
            <w:shd w:val="clear" w:color="auto" w:fill="auto"/>
            <w:noWrap/>
            <w:vAlign w:val="center"/>
            <w:hideMark/>
          </w:tcPr>
          <w:p w14:paraId="1118CEE6"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29.95%</w:t>
            </w:r>
          </w:p>
        </w:tc>
        <w:tc>
          <w:tcPr>
            <w:tcW w:w="1620" w:type="dxa"/>
            <w:tcBorders>
              <w:top w:val="nil"/>
              <w:left w:val="nil"/>
              <w:bottom w:val="single" w:sz="8" w:space="0" w:color="auto"/>
              <w:right w:val="single" w:sz="8" w:space="0" w:color="auto"/>
            </w:tcBorders>
            <w:shd w:val="clear" w:color="auto" w:fill="auto"/>
            <w:noWrap/>
            <w:vAlign w:val="center"/>
            <w:hideMark/>
          </w:tcPr>
          <w:p w14:paraId="7FC60812"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w:t>
            </w:r>
          </w:p>
        </w:tc>
      </w:tr>
      <w:tr w:rsidR="00D676CA" w:rsidRPr="00D676CA" w14:paraId="5D99D8A7" w14:textId="77777777" w:rsidTr="008270B5">
        <w:trPr>
          <w:trHeight w:val="525"/>
          <w:jc w:val="center"/>
        </w:trPr>
        <w:tc>
          <w:tcPr>
            <w:tcW w:w="2386" w:type="dxa"/>
            <w:tcBorders>
              <w:top w:val="nil"/>
              <w:left w:val="single" w:sz="8" w:space="0" w:color="auto"/>
              <w:bottom w:val="single" w:sz="8" w:space="0" w:color="auto"/>
              <w:right w:val="single" w:sz="8" w:space="0" w:color="auto"/>
            </w:tcBorders>
            <w:shd w:val="clear" w:color="auto" w:fill="auto"/>
            <w:vAlign w:val="center"/>
            <w:hideMark/>
          </w:tcPr>
          <w:p w14:paraId="41E125E1" w14:textId="77777777" w:rsidR="00D676CA" w:rsidRPr="00D676CA" w:rsidRDefault="00D676CA" w:rsidP="00D676CA">
            <w:pPr>
              <w:spacing w:line="240" w:lineRule="auto"/>
              <w:jc w:val="left"/>
              <w:rPr>
                <w:rFonts w:cs="Arial"/>
                <w:b/>
                <w:bCs/>
                <w:color w:val="000000"/>
                <w:sz w:val="20"/>
                <w:szCs w:val="20"/>
              </w:rPr>
            </w:pPr>
            <w:r w:rsidRPr="00D676CA">
              <w:rPr>
                <w:rFonts w:cs="Arial"/>
                <w:b/>
                <w:bCs/>
                <w:color w:val="000000"/>
                <w:sz w:val="20"/>
                <w:szCs w:val="20"/>
              </w:rPr>
              <w:t>1 hour, no warning, Summer</w:t>
            </w:r>
          </w:p>
        </w:tc>
        <w:tc>
          <w:tcPr>
            <w:tcW w:w="1283" w:type="dxa"/>
            <w:tcBorders>
              <w:top w:val="nil"/>
              <w:left w:val="nil"/>
              <w:bottom w:val="single" w:sz="8" w:space="0" w:color="auto"/>
              <w:right w:val="single" w:sz="8" w:space="0" w:color="auto"/>
            </w:tcBorders>
            <w:shd w:val="clear" w:color="auto" w:fill="auto"/>
            <w:noWrap/>
            <w:vAlign w:val="center"/>
            <w:hideMark/>
          </w:tcPr>
          <w:p w14:paraId="7576F3E3"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$2.92 </w:t>
            </w:r>
          </w:p>
        </w:tc>
        <w:tc>
          <w:tcPr>
            <w:tcW w:w="1361" w:type="dxa"/>
            <w:tcBorders>
              <w:top w:val="nil"/>
              <w:left w:val="nil"/>
              <w:bottom w:val="single" w:sz="8" w:space="0" w:color="auto"/>
              <w:right w:val="single" w:sz="8" w:space="0" w:color="auto"/>
            </w:tcBorders>
            <w:shd w:val="clear" w:color="auto" w:fill="auto"/>
            <w:noWrap/>
            <w:vAlign w:val="center"/>
            <w:hideMark/>
          </w:tcPr>
          <w:p w14:paraId="6F7752C8"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$197.33 </w:t>
            </w:r>
          </w:p>
        </w:tc>
        <w:tc>
          <w:tcPr>
            <w:tcW w:w="1350" w:type="dxa"/>
            <w:tcBorders>
              <w:top w:val="nil"/>
              <w:left w:val="nil"/>
              <w:bottom w:val="single" w:sz="8" w:space="0" w:color="auto"/>
              <w:right w:val="single" w:sz="8" w:space="0" w:color="auto"/>
            </w:tcBorders>
            <w:shd w:val="clear" w:color="auto" w:fill="auto"/>
            <w:noWrap/>
            <w:vAlign w:val="center"/>
            <w:hideMark/>
          </w:tcPr>
          <w:p w14:paraId="4FAFC4A8"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$144.59 </w:t>
            </w:r>
          </w:p>
        </w:tc>
        <w:tc>
          <w:tcPr>
            <w:tcW w:w="1260" w:type="dxa"/>
            <w:tcBorders>
              <w:top w:val="nil"/>
              <w:left w:val="nil"/>
              <w:bottom w:val="single" w:sz="8" w:space="0" w:color="auto"/>
              <w:right w:val="single" w:sz="8" w:space="0" w:color="auto"/>
            </w:tcBorders>
            <w:shd w:val="clear" w:color="auto" w:fill="auto"/>
            <w:noWrap/>
            <w:vAlign w:val="center"/>
            <w:hideMark/>
          </w:tcPr>
          <w:p w14:paraId="25184091"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$40.42 </w:t>
            </w:r>
          </w:p>
        </w:tc>
        <w:tc>
          <w:tcPr>
            <w:tcW w:w="1620" w:type="dxa"/>
            <w:tcBorders>
              <w:top w:val="nil"/>
              <w:left w:val="nil"/>
              <w:bottom w:val="single" w:sz="8" w:space="0" w:color="auto"/>
              <w:right w:val="single" w:sz="8" w:space="0" w:color="auto"/>
            </w:tcBorders>
            <w:shd w:val="clear" w:color="auto" w:fill="auto"/>
            <w:noWrap/>
            <w:vAlign w:val="center"/>
            <w:hideMark/>
          </w:tcPr>
          <w:p w14:paraId="2E71C4DB"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$60.63 </w:t>
            </w:r>
          </w:p>
        </w:tc>
      </w:tr>
      <w:tr w:rsidR="00D676CA" w:rsidRPr="00D676CA" w14:paraId="2F9E0710" w14:textId="77777777" w:rsidTr="008270B5">
        <w:trPr>
          <w:trHeight w:val="525"/>
          <w:jc w:val="center"/>
        </w:trPr>
        <w:tc>
          <w:tcPr>
            <w:tcW w:w="2386" w:type="dxa"/>
            <w:tcBorders>
              <w:top w:val="nil"/>
              <w:left w:val="single" w:sz="8" w:space="0" w:color="auto"/>
              <w:bottom w:val="single" w:sz="8" w:space="0" w:color="auto"/>
              <w:right w:val="single" w:sz="8" w:space="0" w:color="auto"/>
            </w:tcBorders>
            <w:shd w:val="clear" w:color="auto" w:fill="auto"/>
            <w:vAlign w:val="center"/>
            <w:hideMark/>
          </w:tcPr>
          <w:p w14:paraId="7219695D" w14:textId="77777777" w:rsidR="00D676CA" w:rsidRPr="00D676CA" w:rsidRDefault="00D676CA" w:rsidP="00D676CA">
            <w:pPr>
              <w:spacing w:line="240" w:lineRule="auto"/>
              <w:jc w:val="left"/>
              <w:rPr>
                <w:rFonts w:cs="Arial"/>
                <w:b/>
                <w:bCs/>
                <w:color w:val="000000"/>
                <w:sz w:val="20"/>
                <w:szCs w:val="20"/>
              </w:rPr>
            </w:pPr>
            <w:r w:rsidRPr="00D676CA">
              <w:rPr>
                <w:rFonts w:cs="Arial"/>
                <w:b/>
                <w:bCs/>
                <w:color w:val="000000"/>
                <w:sz w:val="20"/>
                <w:szCs w:val="20"/>
              </w:rPr>
              <w:t>Contribution to Weighted Average</w:t>
            </w:r>
          </w:p>
        </w:tc>
        <w:tc>
          <w:tcPr>
            <w:tcW w:w="1283" w:type="dxa"/>
            <w:tcBorders>
              <w:top w:val="nil"/>
              <w:left w:val="nil"/>
              <w:bottom w:val="single" w:sz="8" w:space="0" w:color="auto"/>
              <w:right w:val="single" w:sz="8" w:space="0" w:color="auto"/>
            </w:tcBorders>
            <w:shd w:val="clear" w:color="auto" w:fill="auto"/>
            <w:noWrap/>
            <w:vAlign w:val="center"/>
            <w:hideMark/>
          </w:tcPr>
          <w:p w14:paraId="53EC07CD"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$1.32 </w:t>
            </w:r>
          </w:p>
        </w:tc>
        <w:tc>
          <w:tcPr>
            <w:tcW w:w="1361" w:type="dxa"/>
            <w:tcBorders>
              <w:top w:val="nil"/>
              <w:left w:val="nil"/>
              <w:bottom w:val="single" w:sz="8" w:space="0" w:color="auto"/>
              <w:right w:val="single" w:sz="8" w:space="0" w:color="auto"/>
            </w:tcBorders>
            <w:shd w:val="clear" w:color="auto" w:fill="auto"/>
            <w:noWrap/>
            <w:vAlign w:val="center"/>
            <w:hideMark/>
          </w:tcPr>
          <w:p w14:paraId="20F4166C"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$43.46 </w:t>
            </w:r>
          </w:p>
        </w:tc>
        <w:tc>
          <w:tcPr>
            <w:tcW w:w="1350" w:type="dxa"/>
            <w:tcBorders>
              <w:top w:val="nil"/>
              <w:left w:val="nil"/>
              <w:bottom w:val="single" w:sz="8" w:space="0" w:color="auto"/>
              <w:right w:val="single" w:sz="8" w:space="0" w:color="auto"/>
            </w:tcBorders>
            <w:shd w:val="clear" w:color="auto" w:fill="auto"/>
            <w:noWrap/>
            <w:vAlign w:val="center"/>
            <w:hideMark/>
          </w:tcPr>
          <w:p w14:paraId="4F0CE3A2"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$3.73 </w:t>
            </w:r>
          </w:p>
        </w:tc>
        <w:tc>
          <w:tcPr>
            <w:tcW w:w="1260" w:type="dxa"/>
            <w:tcBorders>
              <w:top w:val="nil"/>
              <w:left w:val="nil"/>
              <w:bottom w:val="single" w:sz="8" w:space="0" w:color="auto"/>
              <w:right w:val="single" w:sz="8" w:space="0" w:color="auto"/>
            </w:tcBorders>
            <w:shd w:val="clear" w:color="auto" w:fill="auto"/>
            <w:noWrap/>
            <w:vAlign w:val="center"/>
            <w:hideMark/>
          </w:tcPr>
          <w:p w14:paraId="3C8592BF"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$12.11 </w:t>
            </w:r>
          </w:p>
        </w:tc>
        <w:tc>
          <w:tcPr>
            <w:tcW w:w="1620" w:type="dxa"/>
            <w:tcBorders>
              <w:top w:val="nil"/>
              <w:left w:val="nil"/>
              <w:bottom w:val="single" w:sz="8" w:space="0" w:color="auto"/>
              <w:right w:val="single" w:sz="8" w:space="0" w:color="auto"/>
            </w:tcBorders>
            <w:shd w:val="clear" w:color="auto" w:fill="auto"/>
            <w:noWrap/>
            <w:vAlign w:val="center"/>
            <w:hideMark/>
          </w:tcPr>
          <w:p w14:paraId="6B5B7B81" w14:textId="77777777" w:rsidR="00D676CA" w:rsidRPr="00D676CA" w:rsidRDefault="00D676CA" w:rsidP="00D676CA">
            <w:pPr>
              <w:spacing w:line="240" w:lineRule="auto"/>
              <w:jc w:val="center"/>
              <w:rPr>
                <w:rFonts w:cs="Arial"/>
                <w:color w:val="000000"/>
              </w:rPr>
            </w:pPr>
            <w:r w:rsidRPr="00D676CA">
              <w:rPr>
                <w:rFonts w:cs="Arial"/>
                <w:color w:val="000000"/>
              </w:rPr>
              <w:t> </w:t>
            </w:r>
          </w:p>
        </w:tc>
      </w:tr>
      <w:tr w:rsidR="00D676CA" w:rsidRPr="00D676CA" w14:paraId="7F7BD714" w14:textId="77777777" w:rsidTr="008270B5">
        <w:trPr>
          <w:trHeight w:val="525"/>
          <w:jc w:val="center"/>
        </w:trPr>
        <w:tc>
          <w:tcPr>
            <w:tcW w:w="2386" w:type="dxa"/>
            <w:tcBorders>
              <w:top w:val="nil"/>
              <w:left w:val="single" w:sz="8" w:space="0" w:color="auto"/>
              <w:bottom w:val="single" w:sz="8" w:space="0" w:color="auto"/>
              <w:right w:val="single" w:sz="8" w:space="0" w:color="auto"/>
            </w:tcBorders>
            <w:shd w:val="clear" w:color="auto" w:fill="auto"/>
            <w:vAlign w:val="center"/>
            <w:hideMark/>
          </w:tcPr>
          <w:p w14:paraId="5C81CCC0" w14:textId="77777777" w:rsidR="00D676CA" w:rsidRPr="00D676CA" w:rsidRDefault="00D676CA" w:rsidP="00D676CA">
            <w:pPr>
              <w:spacing w:line="240" w:lineRule="auto"/>
              <w:jc w:val="left"/>
              <w:rPr>
                <w:rFonts w:cs="Arial"/>
                <w:b/>
                <w:bCs/>
                <w:color w:val="000000"/>
                <w:sz w:val="20"/>
                <w:szCs w:val="20"/>
              </w:rPr>
            </w:pPr>
            <w:r w:rsidRPr="00D676CA">
              <w:rPr>
                <w:rFonts w:cs="Arial"/>
                <w:b/>
                <w:bCs/>
                <w:color w:val="000000"/>
                <w:sz w:val="20"/>
                <w:szCs w:val="20"/>
              </w:rPr>
              <w:t xml:space="preserve">1 hour, no warning, </w:t>
            </w:r>
            <w:r w:rsidRPr="00D676CA">
              <w:rPr>
                <w:rFonts w:cs="Arial"/>
                <w:b/>
                <w:bCs/>
                <w:color w:val="000000"/>
                <w:sz w:val="20"/>
                <w:szCs w:val="20"/>
              </w:rPr>
              <w:br/>
              <w:t>Winter</w:t>
            </w:r>
          </w:p>
        </w:tc>
        <w:tc>
          <w:tcPr>
            <w:tcW w:w="1283" w:type="dxa"/>
            <w:tcBorders>
              <w:top w:val="nil"/>
              <w:left w:val="nil"/>
              <w:bottom w:val="single" w:sz="8" w:space="0" w:color="auto"/>
              <w:right w:val="single" w:sz="8" w:space="0" w:color="auto"/>
            </w:tcBorders>
            <w:shd w:val="clear" w:color="auto" w:fill="auto"/>
            <w:noWrap/>
            <w:vAlign w:val="center"/>
            <w:hideMark/>
          </w:tcPr>
          <w:p w14:paraId="7A98B6B7"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$2.65 </w:t>
            </w:r>
          </w:p>
        </w:tc>
        <w:tc>
          <w:tcPr>
            <w:tcW w:w="1361" w:type="dxa"/>
            <w:tcBorders>
              <w:top w:val="nil"/>
              <w:left w:val="nil"/>
              <w:bottom w:val="single" w:sz="8" w:space="0" w:color="auto"/>
              <w:right w:val="single" w:sz="8" w:space="0" w:color="auto"/>
            </w:tcBorders>
            <w:shd w:val="clear" w:color="auto" w:fill="auto"/>
            <w:noWrap/>
            <w:vAlign w:val="center"/>
            <w:hideMark/>
          </w:tcPr>
          <w:p w14:paraId="4FA689EF"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$125.24 </w:t>
            </w:r>
          </w:p>
        </w:tc>
        <w:tc>
          <w:tcPr>
            <w:tcW w:w="1350" w:type="dxa"/>
            <w:tcBorders>
              <w:top w:val="nil"/>
              <w:left w:val="nil"/>
              <w:bottom w:val="single" w:sz="8" w:space="0" w:color="auto"/>
              <w:right w:val="single" w:sz="8" w:space="0" w:color="auto"/>
            </w:tcBorders>
            <w:shd w:val="clear" w:color="auto" w:fill="auto"/>
            <w:noWrap/>
            <w:vAlign w:val="center"/>
            <w:hideMark/>
          </w:tcPr>
          <w:p w14:paraId="43066E9D"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$97.67 </w:t>
            </w:r>
          </w:p>
        </w:tc>
        <w:tc>
          <w:tcPr>
            <w:tcW w:w="1260" w:type="dxa"/>
            <w:tcBorders>
              <w:top w:val="nil"/>
              <w:left w:val="nil"/>
              <w:bottom w:val="single" w:sz="8" w:space="0" w:color="auto"/>
              <w:right w:val="single" w:sz="8" w:space="0" w:color="auto"/>
            </w:tcBorders>
            <w:shd w:val="clear" w:color="auto" w:fill="auto"/>
            <w:noWrap/>
            <w:vAlign w:val="center"/>
            <w:hideMark/>
          </w:tcPr>
          <w:p w14:paraId="68CE603D"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$29.95 </w:t>
            </w:r>
          </w:p>
        </w:tc>
        <w:tc>
          <w:tcPr>
            <w:tcW w:w="1620" w:type="dxa"/>
            <w:tcBorders>
              <w:top w:val="nil"/>
              <w:left w:val="nil"/>
              <w:bottom w:val="single" w:sz="8" w:space="0" w:color="auto"/>
              <w:right w:val="single" w:sz="8" w:space="0" w:color="auto"/>
            </w:tcBorders>
            <w:shd w:val="clear" w:color="auto" w:fill="auto"/>
            <w:noWrap/>
            <w:vAlign w:val="center"/>
            <w:hideMark/>
          </w:tcPr>
          <w:p w14:paraId="504EF0E1"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$40.28 </w:t>
            </w:r>
          </w:p>
        </w:tc>
      </w:tr>
      <w:tr w:rsidR="00D676CA" w:rsidRPr="00D676CA" w14:paraId="6CCCDA62" w14:textId="77777777" w:rsidTr="008270B5">
        <w:trPr>
          <w:trHeight w:val="525"/>
          <w:jc w:val="center"/>
        </w:trPr>
        <w:tc>
          <w:tcPr>
            <w:tcW w:w="2386" w:type="dxa"/>
            <w:tcBorders>
              <w:top w:val="nil"/>
              <w:left w:val="single" w:sz="8" w:space="0" w:color="auto"/>
              <w:bottom w:val="single" w:sz="8" w:space="0" w:color="auto"/>
              <w:right w:val="single" w:sz="8" w:space="0" w:color="auto"/>
            </w:tcBorders>
            <w:shd w:val="clear" w:color="auto" w:fill="auto"/>
            <w:vAlign w:val="center"/>
            <w:hideMark/>
          </w:tcPr>
          <w:p w14:paraId="4CF71752" w14:textId="77777777" w:rsidR="00D676CA" w:rsidRPr="00D676CA" w:rsidRDefault="00D676CA" w:rsidP="00D676CA">
            <w:pPr>
              <w:spacing w:line="240" w:lineRule="auto"/>
              <w:jc w:val="left"/>
              <w:rPr>
                <w:rFonts w:cs="Arial"/>
                <w:b/>
                <w:bCs/>
                <w:color w:val="000000"/>
                <w:sz w:val="20"/>
                <w:szCs w:val="20"/>
              </w:rPr>
            </w:pPr>
            <w:r w:rsidRPr="00D676CA">
              <w:rPr>
                <w:rFonts w:cs="Arial"/>
                <w:b/>
                <w:bCs/>
                <w:color w:val="000000"/>
                <w:sz w:val="20"/>
                <w:szCs w:val="20"/>
              </w:rPr>
              <w:t>Contribution to Weighted Average</w:t>
            </w:r>
          </w:p>
        </w:tc>
        <w:tc>
          <w:tcPr>
            <w:tcW w:w="1283" w:type="dxa"/>
            <w:tcBorders>
              <w:top w:val="nil"/>
              <w:left w:val="nil"/>
              <w:bottom w:val="single" w:sz="8" w:space="0" w:color="auto"/>
              <w:right w:val="single" w:sz="8" w:space="0" w:color="auto"/>
            </w:tcBorders>
            <w:shd w:val="clear" w:color="auto" w:fill="auto"/>
            <w:noWrap/>
            <w:vAlign w:val="center"/>
            <w:hideMark/>
          </w:tcPr>
          <w:p w14:paraId="3E4684C6"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$1.20 </w:t>
            </w:r>
          </w:p>
        </w:tc>
        <w:tc>
          <w:tcPr>
            <w:tcW w:w="1361" w:type="dxa"/>
            <w:tcBorders>
              <w:top w:val="nil"/>
              <w:left w:val="nil"/>
              <w:bottom w:val="single" w:sz="8" w:space="0" w:color="auto"/>
              <w:right w:val="single" w:sz="8" w:space="0" w:color="auto"/>
            </w:tcBorders>
            <w:shd w:val="clear" w:color="auto" w:fill="auto"/>
            <w:noWrap/>
            <w:vAlign w:val="center"/>
            <w:hideMark/>
          </w:tcPr>
          <w:p w14:paraId="32606D8E"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$27.58 </w:t>
            </w:r>
          </w:p>
        </w:tc>
        <w:tc>
          <w:tcPr>
            <w:tcW w:w="1350" w:type="dxa"/>
            <w:tcBorders>
              <w:top w:val="nil"/>
              <w:left w:val="nil"/>
              <w:bottom w:val="single" w:sz="8" w:space="0" w:color="auto"/>
              <w:right w:val="single" w:sz="8" w:space="0" w:color="auto"/>
            </w:tcBorders>
            <w:shd w:val="clear" w:color="auto" w:fill="auto"/>
            <w:noWrap/>
            <w:vAlign w:val="center"/>
            <w:hideMark/>
          </w:tcPr>
          <w:p w14:paraId="3857C152"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$2.52 </w:t>
            </w:r>
          </w:p>
        </w:tc>
        <w:tc>
          <w:tcPr>
            <w:tcW w:w="1260" w:type="dxa"/>
            <w:tcBorders>
              <w:top w:val="nil"/>
              <w:left w:val="nil"/>
              <w:bottom w:val="single" w:sz="8" w:space="0" w:color="auto"/>
              <w:right w:val="single" w:sz="8" w:space="0" w:color="auto"/>
            </w:tcBorders>
            <w:shd w:val="clear" w:color="auto" w:fill="auto"/>
            <w:noWrap/>
            <w:vAlign w:val="center"/>
            <w:hideMark/>
          </w:tcPr>
          <w:p w14:paraId="19A02D60"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xml:space="preserve">$8.97 </w:t>
            </w:r>
          </w:p>
        </w:tc>
        <w:tc>
          <w:tcPr>
            <w:tcW w:w="1620" w:type="dxa"/>
            <w:tcBorders>
              <w:top w:val="nil"/>
              <w:left w:val="nil"/>
              <w:bottom w:val="single" w:sz="8" w:space="0" w:color="auto"/>
              <w:right w:val="single" w:sz="8" w:space="0" w:color="auto"/>
            </w:tcBorders>
            <w:shd w:val="clear" w:color="auto" w:fill="auto"/>
            <w:noWrap/>
            <w:vAlign w:val="center"/>
            <w:hideMark/>
          </w:tcPr>
          <w:p w14:paraId="30F97366" w14:textId="77777777" w:rsidR="00D676CA" w:rsidRPr="00D676CA" w:rsidRDefault="00D676CA" w:rsidP="00D676CA">
            <w:pPr>
              <w:spacing w:line="240" w:lineRule="auto"/>
              <w:jc w:val="center"/>
              <w:rPr>
                <w:rFonts w:cs="Arial"/>
                <w:color w:val="000000"/>
                <w:sz w:val="20"/>
                <w:szCs w:val="20"/>
              </w:rPr>
            </w:pPr>
            <w:r w:rsidRPr="00D676CA">
              <w:rPr>
                <w:rFonts w:cs="Arial"/>
                <w:color w:val="000000"/>
                <w:sz w:val="20"/>
                <w:szCs w:val="20"/>
              </w:rPr>
              <w:t> </w:t>
            </w:r>
          </w:p>
        </w:tc>
      </w:tr>
    </w:tbl>
    <w:p w14:paraId="4003636C" w14:textId="77777777" w:rsidR="00464F75" w:rsidRPr="00464F75" w:rsidRDefault="00464F75" w:rsidP="00464F75"/>
    <w:p w14:paraId="0F854F8C" w14:textId="23A2112E" w:rsidR="004B49A6" w:rsidRDefault="004B49A6" w:rsidP="00217F0E">
      <w:pPr>
        <w:rPr>
          <w:szCs w:val="24"/>
        </w:rPr>
      </w:pPr>
      <w:r w:rsidRPr="005E55DE">
        <w:rPr>
          <w:szCs w:val="24"/>
        </w:rPr>
        <w:t>The result was a Value of Loss Load (</w:t>
      </w:r>
      <w:r w:rsidR="008E2FDE">
        <w:rPr>
          <w:szCs w:val="24"/>
        </w:rPr>
        <w:t>“</w:t>
      </w:r>
      <w:r w:rsidRPr="005E55DE">
        <w:rPr>
          <w:szCs w:val="24"/>
        </w:rPr>
        <w:t>VOLL</w:t>
      </w:r>
      <w:r w:rsidR="008E2FDE">
        <w:rPr>
          <w:szCs w:val="24"/>
        </w:rPr>
        <w:t>”</w:t>
      </w:r>
      <w:r w:rsidRPr="005E55DE">
        <w:rPr>
          <w:szCs w:val="24"/>
        </w:rPr>
        <w:t>) of $</w:t>
      </w:r>
      <w:r w:rsidR="00D676CA">
        <w:rPr>
          <w:szCs w:val="24"/>
        </w:rPr>
        <w:t>60</w:t>
      </w:r>
      <w:r w:rsidR="00464F75">
        <w:rPr>
          <w:szCs w:val="24"/>
        </w:rPr>
        <w:t>.</w:t>
      </w:r>
      <w:r w:rsidR="00D676CA">
        <w:rPr>
          <w:szCs w:val="24"/>
        </w:rPr>
        <w:t>63</w:t>
      </w:r>
      <w:r w:rsidRPr="005E55DE">
        <w:rPr>
          <w:szCs w:val="24"/>
        </w:rPr>
        <w:t>/kWh for summer and $</w:t>
      </w:r>
      <w:r w:rsidR="00D676CA">
        <w:rPr>
          <w:szCs w:val="24"/>
        </w:rPr>
        <w:t>40.28</w:t>
      </w:r>
      <w:r w:rsidRPr="005E55DE">
        <w:rPr>
          <w:szCs w:val="24"/>
        </w:rPr>
        <w:t>/kWh for winter.</w:t>
      </w:r>
    </w:p>
    <w:p w14:paraId="08496B14" w14:textId="77777777" w:rsidR="004B49A6" w:rsidRPr="00372AC4" w:rsidRDefault="004B49A6" w:rsidP="00F77FF1">
      <w:pPr>
        <w:rPr>
          <w:szCs w:val="24"/>
        </w:rPr>
      </w:pPr>
      <w:bookmarkStart w:id="259" w:name="_Toc440457939"/>
      <w:bookmarkStart w:id="260" w:name="_Toc440458353"/>
      <w:bookmarkEnd w:id="259"/>
      <w:bookmarkEnd w:id="260"/>
    </w:p>
    <w:p w14:paraId="039DA11B" w14:textId="77777777" w:rsidR="004B49A6" w:rsidRDefault="004B49A6" w:rsidP="00217F0E">
      <w:pPr>
        <w:rPr>
          <w:szCs w:val="24"/>
        </w:rPr>
      </w:pPr>
    </w:p>
    <w:p w14:paraId="513A3D2F" w14:textId="77777777" w:rsidR="00B161DF" w:rsidRPr="00421157" w:rsidRDefault="00B161DF" w:rsidP="00A76839">
      <w:pPr>
        <w:pStyle w:val="Heading1"/>
        <w:numPr>
          <w:ilvl w:val="0"/>
          <w:numId w:val="13"/>
        </w:numPr>
      </w:pPr>
      <w:bookmarkStart w:id="261" w:name="_Toc440262223"/>
      <w:bookmarkStart w:id="262" w:name="_Toc440447894"/>
      <w:bookmarkStart w:id="263" w:name="_Toc440457944"/>
      <w:bookmarkStart w:id="264" w:name="_Toc513710348"/>
      <w:bookmarkStart w:id="265" w:name="_Toc187234610"/>
      <w:r w:rsidRPr="00DB641B">
        <w:t>SIMULATION PROCEDURE</w:t>
      </w:r>
      <w:bookmarkEnd w:id="261"/>
      <w:bookmarkEnd w:id="262"/>
      <w:bookmarkEnd w:id="263"/>
      <w:bookmarkEnd w:id="264"/>
      <w:bookmarkEnd w:id="265"/>
    </w:p>
    <w:p w14:paraId="424A0CA4" w14:textId="77777777" w:rsidR="00697CE5" w:rsidRPr="00421157" w:rsidRDefault="004C2FA2" w:rsidP="00A76839">
      <w:pPr>
        <w:pStyle w:val="Heading2"/>
        <w:numPr>
          <w:ilvl w:val="1"/>
          <w:numId w:val="13"/>
        </w:numPr>
        <w:ind w:hanging="630"/>
      </w:pPr>
      <w:bookmarkStart w:id="266" w:name="_Toc440257878"/>
      <w:bookmarkStart w:id="267" w:name="_Toc440260760"/>
      <w:bookmarkStart w:id="268" w:name="_Toc440262224"/>
      <w:bookmarkStart w:id="269" w:name="_Toc440447828"/>
      <w:bookmarkStart w:id="270" w:name="_Toc440447895"/>
      <w:bookmarkStart w:id="271" w:name="_Toc440457945"/>
      <w:bookmarkStart w:id="272" w:name="_Toc440458359"/>
      <w:bookmarkStart w:id="273" w:name="_Toc222110697"/>
      <w:bookmarkStart w:id="274" w:name="_Toc440262225"/>
      <w:bookmarkStart w:id="275" w:name="_Toc440447896"/>
      <w:bookmarkStart w:id="276" w:name="_Toc440457946"/>
      <w:bookmarkStart w:id="277" w:name="_Toc513710349"/>
      <w:bookmarkStart w:id="278" w:name="_Toc187234611"/>
      <w:bookmarkEnd w:id="266"/>
      <w:bookmarkEnd w:id="267"/>
      <w:bookmarkEnd w:id="268"/>
      <w:bookmarkEnd w:id="269"/>
      <w:bookmarkEnd w:id="270"/>
      <w:bookmarkEnd w:id="271"/>
      <w:bookmarkEnd w:id="272"/>
      <w:r w:rsidRPr="00DB641B">
        <w:t>Case Specification</w:t>
      </w:r>
      <w:bookmarkEnd w:id="273"/>
      <w:bookmarkEnd w:id="274"/>
      <w:bookmarkEnd w:id="275"/>
      <w:bookmarkEnd w:id="276"/>
      <w:bookmarkEnd w:id="277"/>
      <w:bookmarkEnd w:id="278"/>
    </w:p>
    <w:p w14:paraId="2DD3BDE1" w14:textId="752C9F7F" w:rsidR="004C2FA2" w:rsidRDefault="004C2FA2" w:rsidP="00DB641B">
      <w:pPr>
        <w:rPr>
          <w:szCs w:val="24"/>
        </w:rPr>
      </w:pPr>
      <w:r w:rsidRPr="00421157">
        <w:rPr>
          <w:szCs w:val="24"/>
        </w:rPr>
        <w:t xml:space="preserve">The simulations </w:t>
      </w:r>
      <w:r w:rsidR="00CE5D85">
        <w:rPr>
          <w:szCs w:val="24"/>
        </w:rPr>
        <w:t>performed for the 20</w:t>
      </w:r>
      <w:r w:rsidR="00556891">
        <w:rPr>
          <w:szCs w:val="24"/>
        </w:rPr>
        <w:t>2</w:t>
      </w:r>
      <w:r w:rsidR="00AC2F57">
        <w:rPr>
          <w:szCs w:val="24"/>
        </w:rPr>
        <w:t>4</w:t>
      </w:r>
      <w:r w:rsidR="00CE5D85">
        <w:rPr>
          <w:szCs w:val="24"/>
        </w:rPr>
        <w:t xml:space="preserve"> Reserve Margin Study </w:t>
      </w:r>
      <w:r w:rsidRPr="00421157">
        <w:rPr>
          <w:szCs w:val="24"/>
        </w:rPr>
        <w:t xml:space="preserve">were designed to estimate </w:t>
      </w:r>
      <w:r w:rsidR="00B001D8" w:rsidRPr="00B138F0">
        <w:rPr>
          <w:szCs w:val="24"/>
        </w:rPr>
        <w:t>S</w:t>
      </w:r>
      <w:r w:rsidRPr="00B138F0">
        <w:rPr>
          <w:szCs w:val="24"/>
        </w:rPr>
        <w:t xml:space="preserve">ystem generation reliability across a </w:t>
      </w:r>
      <w:r w:rsidR="00CE5D85">
        <w:rPr>
          <w:szCs w:val="24"/>
        </w:rPr>
        <w:t xml:space="preserve">wide </w:t>
      </w:r>
      <w:r w:rsidRPr="00B138F0">
        <w:rPr>
          <w:szCs w:val="24"/>
        </w:rPr>
        <w:t xml:space="preserve">range of weather conditions, </w:t>
      </w:r>
      <w:r w:rsidR="00C17D1C">
        <w:rPr>
          <w:szCs w:val="24"/>
        </w:rPr>
        <w:t>LFEs,</w:t>
      </w:r>
      <w:r w:rsidRPr="00372AC4">
        <w:rPr>
          <w:szCs w:val="24"/>
        </w:rPr>
        <w:t xml:space="preserve"> and reserve margins</w:t>
      </w:r>
      <w:r w:rsidR="00B2485C" w:rsidRPr="00372AC4">
        <w:rPr>
          <w:szCs w:val="24"/>
        </w:rPr>
        <w:t xml:space="preserve">. </w:t>
      </w:r>
      <w:r w:rsidR="004F4B25">
        <w:rPr>
          <w:szCs w:val="24"/>
        </w:rPr>
        <w:t>Eleven</w:t>
      </w:r>
      <w:r w:rsidR="0094575A" w:rsidRPr="00C627E2">
        <w:rPr>
          <w:szCs w:val="24"/>
        </w:rPr>
        <w:t xml:space="preserve"> </w:t>
      </w:r>
      <w:r w:rsidR="00CD43FB" w:rsidRPr="00421157">
        <w:rPr>
          <w:szCs w:val="24"/>
        </w:rPr>
        <w:t>discrete reserve margin levels were simulated to calculate the expected costs over a broad range of scenarios</w:t>
      </w:r>
      <w:r w:rsidR="00AD5C55">
        <w:rPr>
          <w:szCs w:val="24"/>
        </w:rPr>
        <w:t xml:space="preserve"> in the winter</w:t>
      </w:r>
      <w:r w:rsidR="00CD43FB" w:rsidRPr="00421157">
        <w:rPr>
          <w:szCs w:val="24"/>
        </w:rPr>
        <w:t>.</w:t>
      </w:r>
      <w:r w:rsidR="00AD5C55">
        <w:rPr>
          <w:szCs w:val="24"/>
        </w:rPr>
        <w:t xml:space="preserve"> Thirteen discrete values were modeled for the summer.</w:t>
      </w:r>
      <w:r w:rsidRPr="00421157">
        <w:rPr>
          <w:szCs w:val="24"/>
        </w:rPr>
        <w:t xml:space="preserve"> </w:t>
      </w:r>
      <w:r w:rsidR="00CE5D85">
        <w:rPr>
          <w:szCs w:val="24"/>
        </w:rPr>
        <w:t xml:space="preserve">Load shapes corresponding to </w:t>
      </w:r>
      <w:r w:rsidR="000A2237">
        <w:rPr>
          <w:szCs w:val="24"/>
        </w:rPr>
        <w:t>the 1</w:t>
      </w:r>
      <w:r w:rsidR="00AC2F57">
        <w:rPr>
          <w:szCs w:val="24"/>
        </w:rPr>
        <w:t>00</w:t>
      </w:r>
      <w:r w:rsidR="000A2237">
        <w:rPr>
          <w:szCs w:val="24"/>
        </w:rPr>
        <w:t xml:space="preserve"> weather datasets (5</w:t>
      </w:r>
      <w:r w:rsidR="00AC2F57">
        <w:rPr>
          <w:szCs w:val="24"/>
        </w:rPr>
        <w:t>0</w:t>
      </w:r>
      <w:r w:rsidR="000A2237">
        <w:rPr>
          <w:szCs w:val="24"/>
        </w:rPr>
        <w:t xml:space="preserve"> weather years</w:t>
      </w:r>
      <w:r w:rsidR="005D64A2">
        <w:rPr>
          <w:szCs w:val="24"/>
        </w:rPr>
        <w:t>,</w:t>
      </w:r>
      <w:r w:rsidRPr="00372AC4">
        <w:rPr>
          <w:szCs w:val="24"/>
        </w:rPr>
        <w:t xml:space="preserve"> </w:t>
      </w:r>
      <w:r w:rsidR="009E599E" w:rsidRPr="00372AC4">
        <w:rPr>
          <w:szCs w:val="24"/>
        </w:rPr>
        <w:t xml:space="preserve">each </w:t>
      </w:r>
      <w:r w:rsidR="00C051C4" w:rsidRPr="00372AC4">
        <w:rPr>
          <w:szCs w:val="24"/>
        </w:rPr>
        <w:t>with Tuesday and Saturday start days</w:t>
      </w:r>
      <w:r w:rsidR="000A2237">
        <w:rPr>
          <w:szCs w:val="24"/>
        </w:rPr>
        <w:t>)</w:t>
      </w:r>
      <w:r w:rsidR="005D64A2">
        <w:rPr>
          <w:szCs w:val="24"/>
        </w:rPr>
        <w:t>,</w:t>
      </w:r>
      <w:r w:rsidR="00C051C4" w:rsidRPr="00372AC4">
        <w:rPr>
          <w:szCs w:val="24"/>
        </w:rPr>
        <w:t xml:space="preserve"> </w:t>
      </w:r>
      <w:r w:rsidRPr="00372AC4">
        <w:rPr>
          <w:szCs w:val="24"/>
        </w:rPr>
        <w:t xml:space="preserve">were </w:t>
      </w:r>
      <w:r w:rsidR="00972CF1" w:rsidRPr="00372AC4">
        <w:rPr>
          <w:szCs w:val="24"/>
        </w:rPr>
        <w:t xml:space="preserve">run in combination with varying </w:t>
      </w:r>
      <w:r w:rsidR="00520EAB" w:rsidRPr="00372AC4">
        <w:rPr>
          <w:szCs w:val="24"/>
        </w:rPr>
        <w:t>LFE</w:t>
      </w:r>
      <w:r w:rsidR="00972CF1" w:rsidRPr="00372AC4">
        <w:rPr>
          <w:szCs w:val="24"/>
        </w:rPr>
        <w:t>s. Weather years were paired such that loads</w:t>
      </w:r>
      <w:r w:rsidR="0094575A" w:rsidRPr="00372AC4">
        <w:rPr>
          <w:szCs w:val="24"/>
        </w:rPr>
        <w:t>,</w:t>
      </w:r>
      <w:r w:rsidR="00972CF1" w:rsidRPr="00372AC4">
        <w:rPr>
          <w:szCs w:val="24"/>
        </w:rPr>
        <w:t xml:space="preserve"> </w:t>
      </w:r>
      <w:r w:rsidR="00BD6175" w:rsidRPr="00372AC4">
        <w:rPr>
          <w:szCs w:val="24"/>
        </w:rPr>
        <w:t xml:space="preserve">hydro scenarios </w:t>
      </w:r>
      <w:r w:rsidR="0094575A" w:rsidRPr="00372AC4">
        <w:rPr>
          <w:szCs w:val="24"/>
        </w:rPr>
        <w:t xml:space="preserve">and renewable profiles </w:t>
      </w:r>
      <w:r w:rsidR="00BD6175" w:rsidRPr="00372AC4">
        <w:rPr>
          <w:szCs w:val="24"/>
        </w:rPr>
        <w:t xml:space="preserve">were </w:t>
      </w:r>
      <w:r w:rsidR="00CE5D85">
        <w:rPr>
          <w:szCs w:val="24"/>
        </w:rPr>
        <w:t>consistent</w:t>
      </w:r>
      <w:r w:rsidR="00BD6175" w:rsidRPr="00372AC4">
        <w:rPr>
          <w:szCs w:val="24"/>
        </w:rPr>
        <w:t xml:space="preserve">. </w:t>
      </w:r>
      <w:r w:rsidR="00BF2BD6" w:rsidRPr="00372AC4">
        <w:rPr>
          <w:szCs w:val="24"/>
        </w:rPr>
        <w:t>The</w:t>
      </w:r>
      <w:r w:rsidRPr="00372AC4">
        <w:rPr>
          <w:szCs w:val="24"/>
        </w:rPr>
        <w:t xml:space="preserve"> simulation variables were as depicted in </w:t>
      </w:r>
      <w:r w:rsidR="007009BB">
        <w:rPr>
          <w:szCs w:val="24"/>
        </w:rPr>
        <w:fldChar w:fldCharType="begin"/>
      </w:r>
      <w:r w:rsidR="007009BB">
        <w:rPr>
          <w:szCs w:val="24"/>
        </w:rPr>
        <w:instrText xml:space="preserve"> REF _Ref513785953 \h </w:instrText>
      </w:r>
      <w:r w:rsidR="007009BB">
        <w:rPr>
          <w:szCs w:val="24"/>
        </w:rPr>
      </w:r>
      <w:r w:rsidR="007009BB">
        <w:rPr>
          <w:szCs w:val="24"/>
        </w:rPr>
        <w:fldChar w:fldCharType="separate"/>
      </w:r>
      <w:r w:rsidR="00161C58">
        <w:t xml:space="preserve">Table </w:t>
      </w:r>
      <w:r w:rsidR="00161C58">
        <w:rPr>
          <w:noProof/>
        </w:rPr>
        <w:t>II</w:t>
      </w:r>
      <w:r w:rsidR="00161C58">
        <w:noBreakHyphen/>
      </w:r>
      <w:r w:rsidR="00161C58">
        <w:rPr>
          <w:noProof/>
        </w:rPr>
        <w:t>1</w:t>
      </w:r>
      <w:r w:rsidR="007009BB">
        <w:rPr>
          <w:szCs w:val="24"/>
        </w:rPr>
        <w:fldChar w:fldCharType="end"/>
      </w:r>
      <w:r w:rsidR="00F621A0">
        <w:rPr>
          <w:szCs w:val="24"/>
        </w:rPr>
        <w:t xml:space="preserve"> below</w:t>
      </w:r>
      <w:r w:rsidR="00C56A27">
        <w:rPr>
          <w:szCs w:val="24"/>
        </w:rPr>
        <w:t>.</w:t>
      </w:r>
      <w:r w:rsidR="00A648A6">
        <w:rPr>
          <w:szCs w:val="24"/>
        </w:rPr>
        <w:t xml:space="preserve"> </w:t>
      </w:r>
      <w:r w:rsidR="00AD5C55">
        <w:rPr>
          <w:szCs w:val="24"/>
        </w:rPr>
        <w:t>Because peak load forecasts are different between winter and summer and the same 383 MW capacity expansion resource (sized at 1% of winter peak) is utilized for both seasons, the incremental reserve margins are different between seasons.</w:t>
      </w:r>
    </w:p>
    <w:p w14:paraId="4B794150" w14:textId="77777777" w:rsidR="000B6DAD" w:rsidRPr="00372AC4" w:rsidRDefault="000B6DAD" w:rsidP="00DB641B">
      <w:pPr>
        <w:rPr>
          <w:szCs w:val="24"/>
        </w:rPr>
      </w:pPr>
    </w:p>
    <w:p w14:paraId="114EEE16" w14:textId="694E312B" w:rsidR="00020B2E" w:rsidRDefault="0053151C" w:rsidP="00020B2E">
      <w:pPr>
        <w:pStyle w:val="Caption"/>
        <w:keepNext/>
      </w:pPr>
      <w:bookmarkStart w:id="279" w:name="_Ref513785953"/>
      <w:bookmarkStart w:id="280" w:name="_Toc187234645"/>
      <w:bookmarkStart w:id="281" w:name="_Toc513710538"/>
      <w:r>
        <w:t xml:space="preserve">Table </w:t>
      </w:r>
      <w:r w:rsidR="00161C58">
        <w:fldChar w:fldCharType="begin"/>
      </w:r>
      <w:r w:rsidR="00161C58">
        <w:instrText xml:space="preserve"> STYLEREF 1 \s </w:instrText>
      </w:r>
      <w:r w:rsidR="00161C58">
        <w:fldChar w:fldCharType="separate"/>
      </w:r>
      <w:r w:rsidR="00161C58">
        <w:rPr>
          <w:noProof/>
        </w:rPr>
        <w:t>II</w:t>
      </w:r>
      <w:r w:rsidR="00161C58">
        <w:rPr>
          <w:noProof/>
        </w:rPr>
        <w:fldChar w:fldCharType="end"/>
      </w:r>
      <w:r w:rsidR="00922797">
        <w:noBreakHyphen/>
      </w:r>
      <w:r w:rsidR="00161C58">
        <w:fldChar w:fldCharType="begin"/>
      </w:r>
      <w:r w:rsidR="00161C58">
        <w:instrText xml:space="preserve"> SEQ Table \* ARABIC \s 1 </w:instrText>
      </w:r>
      <w:r w:rsidR="00161C58">
        <w:fldChar w:fldCharType="separate"/>
      </w:r>
      <w:r w:rsidR="00161C58">
        <w:rPr>
          <w:noProof/>
        </w:rPr>
        <w:t>1</w:t>
      </w:r>
      <w:r w:rsidR="00161C58">
        <w:rPr>
          <w:noProof/>
        </w:rPr>
        <w:fldChar w:fldCharType="end"/>
      </w:r>
      <w:bookmarkEnd w:id="279"/>
      <w:r>
        <w:t>. SERVM</w:t>
      </w:r>
      <w:r w:rsidR="00020B2E" w:rsidRPr="00020B2E">
        <w:t xml:space="preserve"> </w:t>
      </w:r>
      <w:r w:rsidR="00020B2E">
        <w:t>Case Variables</w:t>
      </w:r>
      <w:bookmarkEnd w:id="280"/>
    </w:p>
    <w:tbl>
      <w:tblPr>
        <w:tblW w:w="8260" w:type="dxa"/>
        <w:jc w:val="center"/>
        <w:tblLook w:val="04A0" w:firstRow="1" w:lastRow="0" w:firstColumn="1" w:lastColumn="0" w:noHBand="0" w:noVBand="1"/>
      </w:tblPr>
      <w:tblGrid>
        <w:gridCol w:w="3040"/>
        <w:gridCol w:w="1900"/>
        <w:gridCol w:w="1900"/>
        <w:gridCol w:w="1420"/>
      </w:tblGrid>
      <w:tr w:rsidR="00CE1A3A" w:rsidRPr="00CE1A3A" w14:paraId="51BDE3C0" w14:textId="77777777" w:rsidTr="00441928">
        <w:trPr>
          <w:trHeight w:val="510"/>
          <w:jc w:val="center"/>
        </w:trPr>
        <w:tc>
          <w:tcPr>
            <w:tcW w:w="3040"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2F47FDC3" w14:textId="77777777" w:rsidR="00CE1A3A" w:rsidRPr="00CE1A3A" w:rsidRDefault="00CE1A3A" w:rsidP="00CE1A3A">
            <w:pPr>
              <w:spacing w:line="240" w:lineRule="auto"/>
              <w:jc w:val="center"/>
              <w:rPr>
                <w:rFonts w:cs="Arial"/>
                <w:b/>
                <w:bCs/>
                <w:color w:val="000000"/>
                <w:sz w:val="20"/>
                <w:szCs w:val="20"/>
              </w:rPr>
            </w:pPr>
            <w:r w:rsidRPr="00CE1A3A">
              <w:rPr>
                <w:rFonts w:cs="Arial"/>
                <w:b/>
                <w:bCs/>
                <w:color w:val="000000"/>
                <w:sz w:val="20"/>
                <w:szCs w:val="20"/>
              </w:rPr>
              <w:t>Weather and Hydro Years</w:t>
            </w:r>
          </w:p>
        </w:tc>
        <w:tc>
          <w:tcPr>
            <w:tcW w:w="1900" w:type="dxa"/>
            <w:tcBorders>
              <w:top w:val="single" w:sz="8" w:space="0" w:color="auto"/>
              <w:left w:val="nil"/>
              <w:bottom w:val="single" w:sz="4" w:space="0" w:color="auto"/>
              <w:right w:val="single" w:sz="4" w:space="0" w:color="auto"/>
            </w:tcBorders>
            <w:shd w:val="clear" w:color="auto" w:fill="auto"/>
            <w:vAlign w:val="center"/>
            <w:hideMark/>
          </w:tcPr>
          <w:p w14:paraId="77DEF4EF" w14:textId="77777777" w:rsidR="00CE1A3A" w:rsidRPr="00CE1A3A" w:rsidRDefault="00CE1A3A" w:rsidP="00CE1A3A">
            <w:pPr>
              <w:spacing w:line="240" w:lineRule="auto"/>
              <w:jc w:val="center"/>
              <w:rPr>
                <w:rFonts w:cs="Arial"/>
                <w:b/>
                <w:bCs/>
                <w:color w:val="000000"/>
                <w:sz w:val="20"/>
                <w:szCs w:val="20"/>
              </w:rPr>
            </w:pPr>
            <w:r w:rsidRPr="00CE1A3A">
              <w:rPr>
                <w:rFonts w:cs="Arial"/>
                <w:b/>
                <w:bCs/>
                <w:color w:val="000000"/>
                <w:sz w:val="20"/>
                <w:szCs w:val="20"/>
              </w:rPr>
              <w:t>Winter Reserve Margins</w:t>
            </w:r>
          </w:p>
        </w:tc>
        <w:tc>
          <w:tcPr>
            <w:tcW w:w="1900" w:type="dxa"/>
            <w:tcBorders>
              <w:top w:val="single" w:sz="8" w:space="0" w:color="auto"/>
              <w:left w:val="nil"/>
              <w:bottom w:val="single" w:sz="4" w:space="0" w:color="auto"/>
              <w:right w:val="single" w:sz="4" w:space="0" w:color="auto"/>
            </w:tcBorders>
            <w:shd w:val="clear" w:color="auto" w:fill="auto"/>
            <w:vAlign w:val="center"/>
            <w:hideMark/>
          </w:tcPr>
          <w:p w14:paraId="3F675F86" w14:textId="77777777" w:rsidR="00CE1A3A" w:rsidRPr="00CE1A3A" w:rsidRDefault="00CE1A3A" w:rsidP="00CE1A3A">
            <w:pPr>
              <w:spacing w:line="240" w:lineRule="auto"/>
              <w:jc w:val="center"/>
              <w:rPr>
                <w:rFonts w:cs="Arial"/>
                <w:b/>
                <w:bCs/>
                <w:color w:val="000000"/>
                <w:sz w:val="20"/>
                <w:szCs w:val="20"/>
              </w:rPr>
            </w:pPr>
            <w:r w:rsidRPr="00CE1A3A">
              <w:rPr>
                <w:rFonts w:cs="Arial"/>
                <w:b/>
                <w:bCs/>
                <w:color w:val="000000"/>
                <w:sz w:val="20"/>
                <w:szCs w:val="20"/>
              </w:rPr>
              <w:t>Summer Reserve Margins</w:t>
            </w:r>
          </w:p>
        </w:tc>
        <w:tc>
          <w:tcPr>
            <w:tcW w:w="1420" w:type="dxa"/>
            <w:tcBorders>
              <w:top w:val="single" w:sz="8" w:space="0" w:color="auto"/>
              <w:left w:val="nil"/>
              <w:bottom w:val="single" w:sz="4" w:space="0" w:color="auto"/>
              <w:right w:val="single" w:sz="8" w:space="0" w:color="auto"/>
            </w:tcBorders>
            <w:shd w:val="clear" w:color="auto" w:fill="auto"/>
            <w:vAlign w:val="center"/>
            <w:hideMark/>
          </w:tcPr>
          <w:p w14:paraId="7BC86454" w14:textId="77777777" w:rsidR="00CE1A3A" w:rsidRPr="00CE1A3A" w:rsidRDefault="00CE1A3A" w:rsidP="00CE1A3A">
            <w:pPr>
              <w:spacing w:line="240" w:lineRule="auto"/>
              <w:jc w:val="center"/>
              <w:rPr>
                <w:rFonts w:cs="Arial"/>
                <w:b/>
                <w:bCs/>
                <w:color w:val="000000"/>
                <w:sz w:val="20"/>
                <w:szCs w:val="20"/>
              </w:rPr>
            </w:pPr>
            <w:r w:rsidRPr="00CE1A3A">
              <w:rPr>
                <w:rFonts w:cs="Arial"/>
                <w:b/>
                <w:bCs/>
                <w:color w:val="000000"/>
                <w:sz w:val="20"/>
                <w:szCs w:val="20"/>
              </w:rPr>
              <w:t>LFEs</w:t>
            </w:r>
          </w:p>
        </w:tc>
      </w:tr>
      <w:tr w:rsidR="00CE1A3A" w:rsidRPr="00CE1A3A" w14:paraId="60459591" w14:textId="77777777" w:rsidTr="00441928">
        <w:trPr>
          <w:trHeight w:val="300"/>
          <w:jc w:val="center"/>
        </w:trPr>
        <w:tc>
          <w:tcPr>
            <w:tcW w:w="3040" w:type="dxa"/>
            <w:tcBorders>
              <w:top w:val="nil"/>
              <w:left w:val="single" w:sz="8" w:space="0" w:color="auto"/>
              <w:bottom w:val="single" w:sz="4" w:space="0" w:color="auto"/>
              <w:right w:val="single" w:sz="4" w:space="0" w:color="auto"/>
            </w:tcBorders>
            <w:shd w:val="clear" w:color="auto" w:fill="auto"/>
            <w:vAlign w:val="center"/>
            <w:hideMark/>
          </w:tcPr>
          <w:p w14:paraId="7CD712B0" w14:textId="77777777" w:rsidR="00CE1A3A" w:rsidRPr="00CE1A3A" w:rsidRDefault="00CE1A3A" w:rsidP="00CE1A3A">
            <w:pPr>
              <w:spacing w:line="240" w:lineRule="auto"/>
              <w:jc w:val="left"/>
              <w:rPr>
                <w:rFonts w:cs="Arial"/>
                <w:color w:val="000000"/>
                <w:sz w:val="20"/>
                <w:szCs w:val="20"/>
              </w:rPr>
            </w:pPr>
            <w:r w:rsidRPr="00CE1A3A">
              <w:rPr>
                <w:rFonts w:cs="Arial"/>
                <w:color w:val="000000"/>
                <w:sz w:val="20"/>
                <w:szCs w:val="20"/>
              </w:rPr>
              <w:t>1973-2022</w:t>
            </w:r>
          </w:p>
        </w:tc>
        <w:tc>
          <w:tcPr>
            <w:tcW w:w="1900" w:type="dxa"/>
            <w:tcBorders>
              <w:top w:val="nil"/>
              <w:left w:val="nil"/>
              <w:bottom w:val="single" w:sz="4" w:space="0" w:color="auto"/>
              <w:right w:val="single" w:sz="4" w:space="0" w:color="auto"/>
            </w:tcBorders>
            <w:shd w:val="clear" w:color="auto" w:fill="auto"/>
            <w:noWrap/>
            <w:vAlign w:val="center"/>
            <w:hideMark/>
          </w:tcPr>
          <w:p w14:paraId="61F4F740"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20%</w:t>
            </w:r>
          </w:p>
        </w:tc>
        <w:tc>
          <w:tcPr>
            <w:tcW w:w="1900" w:type="dxa"/>
            <w:tcBorders>
              <w:top w:val="nil"/>
              <w:left w:val="nil"/>
              <w:bottom w:val="single" w:sz="4" w:space="0" w:color="auto"/>
              <w:right w:val="nil"/>
            </w:tcBorders>
            <w:shd w:val="clear" w:color="auto" w:fill="auto"/>
            <w:noWrap/>
            <w:vAlign w:val="center"/>
            <w:hideMark/>
          </w:tcPr>
          <w:p w14:paraId="0DBE4245"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12.00%</w:t>
            </w:r>
          </w:p>
        </w:tc>
        <w:tc>
          <w:tcPr>
            <w:tcW w:w="1420" w:type="dxa"/>
            <w:tcBorders>
              <w:top w:val="nil"/>
              <w:left w:val="single" w:sz="4" w:space="0" w:color="auto"/>
              <w:bottom w:val="single" w:sz="4" w:space="0" w:color="auto"/>
              <w:right w:val="single" w:sz="8" w:space="0" w:color="auto"/>
            </w:tcBorders>
            <w:shd w:val="clear" w:color="auto" w:fill="auto"/>
            <w:noWrap/>
            <w:vAlign w:val="center"/>
            <w:hideMark/>
          </w:tcPr>
          <w:p w14:paraId="570119BF"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-6.12%</w:t>
            </w:r>
          </w:p>
        </w:tc>
      </w:tr>
      <w:tr w:rsidR="00CE1A3A" w:rsidRPr="00CE1A3A" w14:paraId="2EC4D588" w14:textId="77777777" w:rsidTr="00441928">
        <w:trPr>
          <w:trHeight w:val="300"/>
          <w:jc w:val="center"/>
        </w:trPr>
        <w:tc>
          <w:tcPr>
            <w:tcW w:w="3040" w:type="dxa"/>
            <w:vMerge w:val="restart"/>
            <w:tcBorders>
              <w:top w:val="nil"/>
              <w:left w:val="single" w:sz="8" w:space="0" w:color="auto"/>
              <w:bottom w:val="single" w:sz="8" w:space="0" w:color="000000"/>
              <w:right w:val="single" w:sz="4" w:space="0" w:color="auto"/>
            </w:tcBorders>
            <w:shd w:val="clear" w:color="auto" w:fill="auto"/>
            <w:vAlign w:val="center"/>
            <w:hideMark/>
          </w:tcPr>
          <w:p w14:paraId="6887CC11" w14:textId="77777777" w:rsidR="00CE1A3A" w:rsidRPr="00CE1A3A" w:rsidRDefault="00CE1A3A" w:rsidP="00CE1A3A">
            <w:pPr>
              <w:spacing w:line="240" w:lineRule="auto"/>
              <w:jc w:val="left"/>
              <w:rPr>
                <w:rFonts w:cs="Arial"/>
                <w:color w:val="000000"/>
                <w:sz w:val="20"/>
                <w:szCs w:val="20"/>
              </w:rPr>
            </w:pPr>
            <w:r w:rsidRPr="00CE1A3A">
              <w:rPr>
                <w:rFonts w:cs="Arial"/>
                <w:color w:val="000000"/>
                <w:sz w:val="20"/>
                <w:szCs w:val="20"/>
              </w:rPr>
              <w:t> </w:t>
            </w:r>
          </w:p>
        </w:tc>
        <w:tc>
          <w:tcPr>
            <w:tcW w:w="1900" w:type="dxa"/>
            <w:tcBorders>
              <w:top w:val="nil"/>
              <w:left w:val="nil"/>
              <w:bottom w:val="single" w:sz="4" w:space="0" w:color="auto"/>
              <w:right w:val="single" w:sz="4" w:space="0" w:color="auto"/>
            </w:tcBorders>
            <w:shd w:val="clear" w:color="auto" w:fill="auto"/>
            <w:noWrap/>
            <w:vAlign w:val="center"/>
            <w:hideMark/>
          </w:tcPr>
          <w:p w14:paraId="3CAC93B3"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21%</w:t>
            </w:r>
          </w:p>
        </w:tc>
        <w:tc>
          <w:tcPr>
            <w:tcW w:w="1900" w:type="dxa"/>
            <w:tcBorders>
              <w:top w:val="nil"/>
              <w:left w:val="nil"/>
              <w:bottom w:val="single" w:sz="4" w:space="0" w:color="auto"/>
              <w:right w:val="nil"/>
            </w:tcBorders>
            <w:shd w:val="clear" w:color="auto" w:fill="auto"/>
            <w:noWrap/>
            <w:vAlign w:val="center"/>
            <w:hideMark/>
          </w:tcPr>
          <w:p w14:paraId="43AB069B"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12.98%</w:t>
            </w:r>
          </w:p>
        </w:tc>
        <w:tc>
          <w:tcPr>
            <w:tcW w:w="1420" w:type="dxa"/>
            <w:tcBorders>
              <w:top w:val="nil"/>
              <w:left w:val="single" w:sz="4" w:space="0" w:color="auto"/>
              <w:bottom w:val="single" w:sz="4" w:space="0" w:color="auto"/>
              <w:right w:val="single" w:sz="8" w:space="0" w:color="auto"/>
            </w:tcBorders>
            <w:shd w:val="clear" w:color="auto" w:fill="auto"/>
            <w:noWrap/>
            <w:vAlign w:val="center"/>
            <w:hideMark/>
          </w:tcPr>
          <w:p w14:paraId="13293437"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-3.06%</w:t>
            </w:r>
          </w:p>
        </w:tc>
      </w:tr>
      <w:tr w:rsidR="00CE1A3A" w:rsidRPr="00CE1A3A" w14:paraId="4943C13A" w14:textId="77777777" w:rsidTr="00441928">
        <w:trPr>
          <w:trHeight w:val="300"/>
          <w:jc w:val="center"/>
        </w:trPr>
        <w:tc>
          <w:tcPr>
            <w:tcW w:w="3040" w:type="dxa"/>
            <w:vMerge/>
            <w:tcBorders>
              <w:top w:val="nil"/>
              <w:left w:val="single" w:sz="8" w:space="0" w:color="auto"/>
              <w:bottom w:val="single" w:sz="8" w:space="0" w:color="000000"/>
              <w:right w:val="single" w:sz="4" w:space="0" w:color="auto"/>
            </w:tcBorders>
            <w:vAlign w:val="center"/>
            <w:hideMark/>
          </w:tcPr>
          <w:p w14:paraId="50409B0C" w14:textId="77777777" w:rsidR="00CE1A3A" w:rsidRPr="00CE1A3A" w:rsidRDefault="00CE1A3A" w:rsidP="00CE1A3A">
            <w:pPr>
              <w:spacing w:line="240" w:lineRule="auto"/>
              <w:jc w:val="left"/>
              <w:rPr>
                <w:rFonts w:cs="Arial"/>
                <w:color w:val="000000"/>
                <w:sz w:val="20"/>
                <w:szCs w:val="20"/>
              </w:rPr>
            </w:pPr>
          </w:p>
        </w:tc>
        <w:tc>
          <w:tcPr>
            <w:tcW w:w="1900" w:type="dxa"/>
            <w:tcBorders>
              <w:top w:val="nil"/>
              <w:left w:val="nil"/>
              <w:bottom w:val="single" w:sz="4" w:space="0" w:color="auto"/>
              <w:right w:val="single" w:sz="4" w:space="0" w:color="auto"/>
            </w:tcBorders>
            <w:shd w:val="clear" w:color="auto" w:fill="auto"/>
            <w:noWrap/>
            <w:vAlign w:val="center"/>
            <w:hideMark/>
          </w:tcPr>
          <w:p w14:paraId="5988F0A0"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22%</w:t>
            </w:r>
          </w:p>
        </w:tc>
        <w:tc>
          <w:tcPr>
            <w:tcW w:w="1900" w:type="dxa"/>
            <w:tcBorders>
              <w:top w:val="nil"/>
              <w:left w:val="nil"/>
              <w:bottom w:val="single" w:sz="4" w:space="0" w:color="auto"/>
              <w:right w:val="nil"/>
            </w:tcBorders>
            <w:shd w:val="clear" w:color="auto" w:fill="auto"/>
            <w:noWrap/>
            <w:vAlign w:val="center"/>
            <w:hideMark/>
          </w:tcPr>
          <w:p w14:paraId="75841F16"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13.96%</w:t>
            </w:r>
          </w:p>
        </w:tc>
        <w:tc>
          <w:tcPr>
            <w:tcW w:w="1420" w:type="dxa"/>
            <w:tcBorders>
              <w:top w:val="nil"/>
              <w:left w:val="single" w:sz="4" w:space="0" w:color="auto"/>
              <w:bottom w:val="single" w:sz="4" w:space="0" w:color="auto"/>
              <w:right w:val="single" w:sz="8" w:space="0" w:color="auto"/>
            </w:tcBorders>
            <w:shd w:val="clear" w:color="auto" w:fill="auto"/>
            <w:noWrap/>
            <w:vAlign w:val="center"/>
            <w:hideMark/>
          </w:tcPr>
          <w:p w14:paraId="68A97D96"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-0.32%</w:t>
            </w:r>
          </w:p>
        </w:tc>
      </w:tr>
      <w:tr w:rsidR="00CE1A3A" w:rsidRPr="00CE1A3A" w14:paraId="69A83FD4" w14:textId="77777777" w:rsidTr="00441928">
        <w:trPr>
          <w:trHeight w:val="300"/>
          <w:jc w:val="center"/>
        </w:trPr>
        <w:tc>
          <w:tcPr>
            <w:tcW w:w="3040" w:type="dxa"/>
            <w:vMerge/>
            <w:tcBorders>
              <w:top w:val="nil"/>
              <w:left w:val="single" w:sz="8" w:space="0" w:color="auto"/>
              <w:bottom w:val="single" w:sz="8" w:space="0" w:color="000000"/>
              <w:right w:val="single" w:sz="4" w:space="0" w:color="auto"/>
            </w:tcBorders>
            <w:vAlign w:val="center"/>
            <w:hideMark/>
          </w:tcPr>
          <w:p w14:paraId="4758B0D3" w14:textId="77777777" w:rsidR="00CE1A3A" w:rsidRPr="00CE1A3A" w:rsidRDefault="00CE1A3A" w:rsidP="00CE1A3A">
            <w:pPr>
              <w:spacing w:line="240" w:lineRule="auto"/>
              <w:jc w:val="left"/>
              <w:rPr>
                <w:rFonts w:cs="Arial"/>
                <w:color w:val="000000"/>
                <w:sz w:val="20"/>
                <w:szCs w:val="20"/>
              </w:rPr>
            </w:pPr>
          </w:p>
        </w:tc>
        <w:tc>
          <w:tcPr>
            <w:tcW w:w="1900" w:type="dxa"/>
            <w:tcBorders>
              <w:top w:val="nil"/>
              <w:left w:val="nil"/>
              <w:bottom w:val="single" w:sz="4" w:space="0" w:color="auto"/>
              <w:right w:val="single" w:sz="4" w:space="0" w:color="auto"/>
            </w:tcBorders>
            <w:shd w:val="clear" w:color="auto" w:fill="auto"/>
            <w:noWrap/>
            <w:vAlign w:val="center"/>
            <w:hideMark/>
          </w:tcPr>
          <w:p w14:paraId="308477EE"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23%</w:t>
            </w:r>
          </w:p>
        </w:tc>
        <w:tc>
          <w:tcPr>
            <w:tcW w:w="1900" w:type="dxa"/>
            <w:tcBorders>
              <w:top w:val="nil"/>
              <w:left w:val="nil"/>
              <w:bottom w:val="single" w:sz="4" w:space="0" w:color="auto"/>
              <w:right w:val="nil"/>
            </w:tcBorders>
            <w:shd w:val="clear" w:color="auto" w:fill="auto"/>
            <w:noWrap/>
            <w:vAlign w:val="center"/>
            <w:hideMark/>
          </w:tcPr>
          <w:p w14:paraId="64F9A0CD"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14.94%</w:t>
            </w:r>
          </w:p>
        </w:tc>
        <w:tc>
          <w:tcPr>
            <w:tcW w:w="1420" w:type="dxa"/>
            <w:tcBorders>
              <w:top w:val="nil"/>
              <w:left w:val="single" w:sz="4" w:space="0" w:color="auto"/>
              <w:bottom w:val="single" w:sz="4" w:space="0" w:color="auto"/>
              <w:right w:val="single" w:sz="8" w:space="0" w:color="auto"/>
            </w:tcBorders>
            <w:shd w:val="clear" w:color="auto" w:fill="auto"/>
            <w:noWrap/>
            <w:vAlign w:val="center"/>
            <w:hideMark/>
          </w:tcPr>
          <w:p w14:paraId="579AD347"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2.58%</w:t>
            </w:r>
          </w:p>
        </w:tc>
      </w:tr>
      <w:tr w:rsidR="00CE1A3A" w:rsidRPr="00CE1A3A" w14:paraId="5A09B605" w14:textId="77777777" w:rsidTr="00441928">
        <w:trPr>
          <w:trHeight w:val="300"/>
          <w:jc w:val="center"/>
        </w:trPr>
        <w:tc>
          <w:tcPr>
            <w:tcW w:w="3040" w:type="dxa"/>
            <w:vMerge/>
            <w:tcBorders>
              <w:top w:val="nil"/>
              <w:left w:val="single" w:sz="8" w:space="0" w:color="auto"/>
              <w:bottom w:val="single" w:sz="8" w:space="0" w:color="000000"/>
              <w:right w:val="single" w:sz="4" w:space="0" w:color="auto"/>
            </w:tcBorders>
            <w:vAlign w:val="center"/>
            <w:hideMark/>
          </w:tcPr>
          <w:p w14:paraId="76A59D93" w14:textId="77777777" w:rsidR="00CE1A3A" w:rsidRPr="00CE1A3A" w:rsidRDefault="00CE1A3A" w:rsidP="00CE1A3A">
            <w:pPr>
              <w:spacing w:line="240" w:lineRule="auto"/>
              <w:jc w:val="left"/>
              <w:rPr>
                <w:rFonts w:cs="Arial"/>
                <w:color w:val="000000"/>
                <w:sz w:val="20"/>
                <w:szCs w:val="20"/>
              </w:rPr>
            </w:pPr>
          </w:p>
        </w:tc>
        <w:tc>
          <w:tcPr>
            <w:tcW w:w="1900" w:type="dxa"/>
            <w:tcBorders>
              <w:top w:val="nil"/>
              <w:left w:val="nil"/>
              <w:bottom w:val="single" w:sz="4" w:space="0" w:color="auto"/>
              <w:right w:val="single" w:sz="4" w:space="0" w:color="auto"/>
            </w:tcBorders>
            <w:shd w:val="clear" w:color="auto" w:fill="auto"/>
            <w:noWrap/>
            <w:vAlign w:val="center"/>
            <w:hideMark/>
          </w:tcPr>
          <w:p w14:paraId="4A9B1061"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24%</w:t>
            </w:r>
          </w:p>
        </w:tc>
        <w:tc>
          <w:tcPr>
            <w:tcW w:w="1900" w:type="dxa"/>
            <w:tcBorders>
              <w:top w:val="nil"/>
              <w:left w:val="nil"/>
              <w:bottom w:val="single" w:sz="4" w:space="0" w:color="auto"/>
              <w:right w:val="nil"/>
            </w:tcBorders>
            <w:shd w:val="clear" w:color="auto" w:fill="auto"/>
            <w:noWrap/>
            <w:vAlign w:val="center"/>
            <w:hideMark/>
          </w:tcPr>
          <w:p w14:paraId="39D03C5E"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15.92%</w:t>
            </w:r>
          </w:p>
        </w:tc>
        <w:tc>
          <w:tcPr>
            <w:tcW w:w="1420" w:type="dxa"/>
            <w:tcBorders>
              <w:top w:val="nil"/>
              <w:left w:val="single" w:sz="4" w:space="0" w:color="auto"/>
              <w:bottom w:val="single" w:sz="4" w:space="0" w:color="auto"/>
              <w:right w:val="single" w:sz="8" w:space="0" w:color="auto"/>
            </w:tcBorders>
            <w:shd w:val="clear" w:color="auto" w:fill="auto"/>
            <w:noWrap/>
            <w:vAlign w:val="center"/>
            <w:hideMark/>
          </w:tcPr>
          <w:p w14:paraId="04A8C7E8"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5.16%</w:t>
            </w:r>
          </w:p>
        </w:tc>
      </w:tr>
      <w:tr w:rsidR="00CE1A3A" w:rsidRPr="00CE1A3A" w14:paraId="715F4C82" w14:textId="77777777" w:rsidTr="00441928">
        <w:trPr>
          <w:trHeight w:val="300"/>
          <w:jc w:val="center"/>
        </w:trPr>
        <w:tc>
          <w:tcPr>
            <w:tcW w:w="3040" w:type="dxa"/>
            <w:vMerge/>
            <w:tcBorders>
              <w:top w:val="nil"/>
              <w:left w:val="single" w:sz="8" w:space="0" w:color="auto"/>
              <w:bottom w:val="single" w:sz="8" w:space="0" w:color="000000"/>
              <w:right w:val="single" w:sz="4" w:space="0" w:color="auto"/>
            </w:tcBorders>
            <w:vAlign w:val="center"/>
            <w:hideMark/>
          </w:tcPr>
          <w:p w14:paraId="4198B422" w14:textId="77777777" w:rsidR="00CE1A3A" w:rsidRPr="00CE1A3A" w:rsidRDefault="00CE1A3A" w:rsidP="00CE1A3A">
            <w:pPr>
              <w:spacing w:line="240" w:lineRule="auto"/>
              <w:jc w:val="left"/>
              <w:rPr>
                <w:rFonts w:cs="Arial"/>
                <w:color w:val="000000"/>
                <w:sz w:val="20"/>
                <w:szCs w:val="20"/>
              </w:rPr>
            </w:pPr>
          </w:p>
        </w:tc>
        <w:tc>
          <w:tcPr>
            <w:tcW w:w="1900" w:type="dxa"/>
            <w:tcBorders>
              <w:top w:val="nil"/>
              <w:left w:val="nil"/>
              <w:bottom w:val="single" w:sz="4" w:space="0" w:color="auto"/>
              <w:right w:val="single" w:sz="4" w:space="0" w:color="auto"/>
            </w:tcBorders>
            <w:shd w:val="clear" w:color="auto" w:fill="auto"/>
            <w:noWrap/>
            <w:vAlign w:val="center"/>
            <w:hideMark/>
          </w:tcPr>
          <w:p w14:paraId="1A435FC9"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25%</w:t>
            </w:r>
          </w:p>
        </w:tc>
        <w:tc>
          <w:tcPr>
            <w:tcW w:w="1900" w:type="dxa"/>
            <w:tcBorders>
              <w:top w:val="nil"/>
              <w:left w:val="nil"/>
              <w:bottom w:val="single" w:sz="4" w:space="0" w:color="auto"/>
              <w:right w:val="nil"/>
            </w:tcBorders>
            <w:shd w:val="clear" w:color="auto" w:fill="auto"/>
            <w:noWrap/>
            <w:vAlign w:val="center"/>
            <w:hideMark/>
          </w:tcPr>
          <w:p w14:paraId="25BE56EC"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16.90%</w:t>
            </w:r>
          </w:p>
        </w:tc>
        <w:tc>
          <w:tcPr>
            <w:tcW w:w="142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1219585B"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 </w:t>
            </w:r>
          </w:p>
        </w:tc>
      </w:tr>
      <w:tr w:rsidR="00CE1A3A" w:rsidRPr="00CE1A3A" w14:paraId="492BF175" w14:textId="77777777" w:rsidTr="00441928">
        <w:trPr>
          <w:trHeight w:val="300"/>
          <w:jc w:val="center"/>
        </w:trPr>
        <w:tc>
          <w:tcPr>
            <w:tcW w:w="3040" w:type="dxa"/>
            <w:vMerge/>
            <w:tcBorders>
              <w:top w:val="nil"/>
              <w:left w:val="single" w:sz="8" w:space="0" w:color="auto"/>
              <w:bottom w:val="single" w:sz="8" w:space="0" w:color="000000"/>
              <w:right w:val="single" w:sz="4" w:space="0" w:color="auto"/>
            </w:tcBorders>
            <w:vAlign w:val="center"/>
            <w:hideMark/>
          </w:tcPr>
          <w:p w14:paraId="700712EE" w14:textId="77777777" w:rsidR="00CE1A3A" w:rsidRPr="00CE1A3A" w:rsidRDefault="00CE1A3A" w:rsidP="00CE1A3A">
            <w:pPr>
              <w:spacing w:line="240" w:lineRule="auto"/>
              <w:jc w:val="left"/>
              <w:rPr>
                <w:rFonts w:cs="Arial"/>
                <w:color w:val="000000"/>
                <w:sz w:val="20"/>
                <w:szCs w:val="20"/>
              </w:rPr>
            </w:pPr>
          </w:p>
        </w:tc>
        <w:tc>
          <w:tcPr>
            <w:tcW w:w="1900" w:type="dxa"/>
            <w:tcBorders>
              <w:top w:val="nil"/>
              <w:left w:val="nil"/>
              <w:bottom w:val="single" w:sz="4" w:space="0" w:color="auto"/>
              <w:right w:val="single" w:sz="4" w:space="0" w:color="auto"/>
            </w:tcBorders>
            <w:shd w:val="clear" w:color="auto" w:fill="auto"/>
            <w:noWrap/>
            <w:vAlign w:val="center"/>
            <w:hideMark/>
          </w:tcPr>
          <w:p w14:paraId="5A6E3077"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26%</w:t>
            </w:r>
          </w:p>
        </w:tc>
        <w:tc>
          <w:tcPr>
            <w:tcW w:w="1900" w:type="dxa"/>
            <w:tcBorders>
              <w:top w:val="nil"/>
              <w:left w:val="nil"/>
              <w:bottom w:val="single" w:sz="4" w:space="0" w:color="auto"/>
              <w:right w:val="nil"/>
            </w:tcBorders>
            <w:shd w:val="clear" w:color="auto" w:fill="auto"/>
            <w:noWrap/>
            <w:vAlign w:val="center"/>
            <w:hideMark/>
          </w:tcPr>
          <w:p w14:paraId="504636BF"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17.88%</w:t>
            </w:r>
          </w:p>
        </w:tc>
        <w:tc>
          <w:tcPr>
            <w:tcW w:w="1420" w:type="dxa"/>
            <w:vMerge/>
            <w:tcBorders>
              <w:top w:val="nil"/>
              <w:left w:val="single" w:sz="4" w:space="0" w:color="auto"/>
              <w:bottom w:val="single" w:sz="8" w:space="0" w:color="000000"/>
              <w:right w:val="single" w:sz="8" w:space="0" w:color="auto"/>
            </w:tcBorders>
            <w:vAlign w:val="center"/>
            <w:hideMark/>
          </w:tcPr>
          <w:p w14:paraId="30AF1E58" w14:textId="77777777" w:rsidR="00CE1A3A" w:rsidRPr="00CE1A3A" w:rsidRDefault="00CE1A3A" w:rsidP="00CE1A3A">
            <w:pPr>
              <w:spacing w:line="240" w:lineRule="auto"/>
              <w:jc w:val="left"/>
              <w:rPr>
                <w:rFonts w:cs="Arial"/>
                <w:color w:val="000000"/>
                <w:sz w:val="20"/>
                <w:szCs w:val="20"/>
              </w:rPr>
            </w:pPr>
          </w:p>
        </w:tc>
      </w:tr>
      <w:tr w:rsidR="00CE1A3A" w:rsidRPr="00CE1A3A" w14:paraId="25A0BB96" w14:textId="77777777" w:rsidTr="00441928">
        <w:trPr>
          <w:trHeight w:val="300"/>
          <w:jc w:val="center"/>
        </w:trPr>
        <w:tc>
          <w:tcPr>
            <w:tcW w:w="3040" w:type="dxa"/>
            <w:vMerge/>
            <w:tcBorders>
              <w:top w:val="nil"/>
              <w:left w:val="single" w:sz="8" w:space="0" w:color="auto"/>
              <w:bottom w:val="single" w:sz="8" w:space="0" w:color="000000"/>
              <w:right w:val="single" w:sz="4" w:space="0" w:color="auto"/>
            </w:tcBorders>
            <w:vAlign w:val="center"/>
            <w:hideMark/>
          </w:tcPr>
          <w:p w14:paraId="35DAE707" w14:textId="77777777" w:rsidR="00CE1A3A" w:rsidRPr="00CE1A3A" w:rsidRDefault="00CE1A3A" w:rsidP="00CE1A3A">
            <w:pPr>
              <w:spacing w:line="240" w:lineRule="auto"/>
              <w:jc w:val="left"/>
              <w:rPr>
                <w:rFonts w:cs="Arial"/>
                <w:color w:val="000000"/>
                <w:sz w:val="20"/>
                <w:szCs w:val="20"/>
              </w:rPr>
            </w:pPr>
          </w:p>
        </w:tc>
        <w:tc>
          <w:tcPr>
            <w:tcW w:w="1900" w:type="dxa"/>
            <w:tcBorders>
              <w:top w:val="nil"/>
              <w:left w:val="nil"/>
              <w:bottom w:val="single" w:sz="4" w:space="0" w:color="auto"/>
              <w:right w:val="single" w:sz="4" w:space="0" w:color="auto"/>
            </w:tcBorders>
            <w:shd w:val="clear" w:color="auto" w:fill="auto"/>
            <w:noWrap/>
            <w:vAlign w:val="center"/>
            <w:hideMark/>
          </w:tcPr>
          <w:p w14:paraId="29DDC2FF"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27%</w:t>
            </w:r>
          </w:p>
        </w:tc>
        <w:tc>
          <w:tcPr>
            <w:tcW w:w="1900" w:type="dxa"/>
            <w:tcBorders>
              <w:top w:val="nil"/>
              <w:left w:val="nil"/>
              <w:bottom w:val="single" w:sz="4" w:space="0" w:color="auto"/>
              <w:right w:val="nil"/>
            </w:tcBorders>
            <w:shd w:val="clear" w:color="auto" w:fill="auto"/>
            <w:noWrap/>
            <w:vAlign w:val="center"/>
            <w:hideMark/>
          </w:tcPr>
          <w:p w14:paraId="3B8E871B"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18.86%</w:t>
            </w:r>
          </w:p>
        </w:tc>
        <w:tc>
          <w:tcPr>
            <w:tcW w:w="1420" w:type="dxa"/>
            <w:vMerge/>
            <w:tcBorders>
              <w:top w:val="nil"/>
              <w:left w:val="single" w:sz="4" w:space="0" w:color="auto"/>
              <w:bottom w:val="single" w:sz="8" w:space="0" w:color="000000"/>
              <w:right w:val="single" w:sz="8" w:space="0" w:color="auto"/>
            </w:tcBorders>
            <w:vAlign w:val="center"/>
            <w:hideMark/>
          </w:tcPr>
          <w:p w14:paraId="65E1E1CF" w14:textId="77777777" w:rsidR="00CE1A3A" w:rsidRPr="00CE1A3A" w:rsidRDefault="00CE1A3A" w:rsidP="00CE1A3A">
            <w:pPr>
              <w:spacing w:line="240" w:lineRule="auto"/>
              <w:jc w:val="left"/>
              <w:rPr>
                <w:rFonts w:cs="Arial"/>
                <w:color w:val="000000"/>
                <w:sz w:val="20"/>
                <w:szCs w:val="20"/>
              </w:rPr>
            </w:pPr>
          </w:p>
        </w:tc>
      </w:tr>
      <w:tr w:rsidR="00CE1A3A" w:rsidRPr="00CE1A3A" w14:paraId="4E9EA9BE" w14:textId="77777777" w:rsidTr="00441928">
        <w:trPr>
          <w:trHeight w:val="300"/>
          <w:jc w:val="center"/>
        </w:trPr>
        <w:tc>
          <w:tcPr>
            <w:tcW w:w="3040" w:type="dxa"/>
            <w:vMerge/>
            <w:tcBorders>
              <w:top w:val="nil"/>
              <w:left w:val="single" w:sz="8" w:space="0" w:color="auto"/>
              <w:bottom w:val="single" w:sz="8" w:space="0" w:color="000000"/>
              <w:right w:val="single" w:sz="4" w:space="0" w:color="auto"/>
            </w:tcBorders>
            <w:vAlign w:val="center"/>
            <w:hideMark/>
          </w:tcPr>
          <w:p w14:paraId="224926DC" w14:textId="77777777" w:rsidR="00CE1A3A" w:rsidRPr="00CE1A3A" w:rsidRDefault="00CE1A3A" w:rsidP="00CE1A3A">
            <w:pPr>
              <w:spacing w:line="240" w:lineRule="auto"/>
              <w:jc w:val="left"/>
              <w:rPr>
                <w:rFonts w:cs="Arial"/>
                <w:color w:val="000000"/>
                <w:sz w:val="20"/>
                <w:szCs w:val="20"/>
              </w:rPr>
            </w:pPr>
          </w:p>
        </w:tc>
        <w:tc>
          <w:tcPr>
            <w:tcW w:w="1900" w:type="dxa"/>
            <w:tcBorders>
              <w:top w:val="nil"/>
              <w:left w:val="nil"/>
              <w:bottom w:val="single" w:sz="4" w:space="0" w:color="auto"/>
              <w:right w:val="single" w:sz="4" w:space="0" w:color="auto"/>
            </w:tcBorders>
            <w:shd w:val="clear" w:color="auto" w:fill="auto"/>
            <w:noWrap/>
            <w:vAlign w:val="center"/>
            <w:hideMark/>
          </w:tcPr>
          <w:p w14:paraId="6B6496B1"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28%</w:t>
            </w:r>
          </w:p>
        </w:tc>
        <w:tc>
          <w:tcPr>
            <w:tcW w:w="1900" w:type="dxa"/>
            <w:tcBorders>
              <w:top w:val="nil"/>
              <w:left w:val="nil"/>
              <w:bottom w:val="single" w:sz="4" w:space="0" w:color="auto"/>
              <w:right w:val="nil"/>
            </w:tcBorders>
            <w:shd w:val="clear" w:color="auto" w:fill="auto"/>
            <w:noWrap/>
            <w:vAlign w:val="center"/>
            <w:hideMark/>
          </w:tcPr>
          <w:p w14:paraId="0CF5FD2A"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19.83%</w:t>
            </w:r>
          </w:p>
        </w:tc>
        <w:tc>
          <w:tcPr>
            <w:tcW w:w="1420" w:type="dxa"/>
            <w:vMerge/>
            <w:tcBorders>
              <w:top w:val="nil"/>
              <w:left w:val="single" w:sz="4" w:space="0" w:color="auto"/>
              <w:bottom w:val="single" w:sz="8" w:space="0" w:color="000000"/>
              <w:right w:val="single" w:sz="8" w:space="0" w:color="auto"/>
            </w:tcBorders>
            <w:vAlign w:val="center"/>
            <w:hideMark/>
          </w:tcPr>
          <w:p w14:paraId="53FDE748" w14:textId="77777777" w:rsidR="00CE1A3A" w:rsidRPr="00CE1A3A" w:rsidRDefault="00CE1A3A" w:rsidP="00CE1A3A">
            <w:pPr>
              <w:spacing w:line="240" w:lineRule="auto"/>
              <w:jc w:val="left"/>
              <w:rPr>
                <w:rFonts w:cs="Arial"/>
                <w:color w:val="000000"/>
                <w:sz w:val="20"/>
                <w:szCs w:val="20"/>
              </w:rPr>
            </w:pPr>
          </w:p>
        </w:tc>
      </w:tr>
      <w:tr w:rsidR="00CE1A3A" w:rsidRPr="00CE1A3A" w14:paraId="7E16E8AD" w14:textId="77777777" w:rsidTr="00441928">
        <w:trPr>
          <w:trHeight w:val="300"/>
          <w:jc w:val="center"/>
        </w:trPr>
        <w:tc>
          <w:tcPr>
            <w:tcW w:w="3040" w:type="dxa"/>
            <w:vMerge/>
            <w:tcBorders>
              <w:top w:val="nil"/>
              <w:left w:val="single" w:sz="8" w:space="0" w:color="auto"/>
              <w:bottom w:val="single" w:sz="8" w:space="0" w:color="000000"/>
              <w:right w:val="single" w:sz="4" w:space="0" w:color="auto"/>
            </w:tcBorders>
            <w:vAlign w:val="center"/>
            <w:hideMark/>
          </w:tcPr>
          <w:p w14:paraId="37E2D024" w14:textId="77777777" w:rsidR="00CE1A3A" w:rsidRPr="00CE1A3A" w:rsidRDefault="00CE1A3A" w:rsidP="00CE1A3A">
            <w:pPr>
              <w:spacing w:line="240" w:lineRule="auto"/>
              <w:jc w:val="left"/>
              <w:rPr>
                <w:rFonts w:cs="Arial"/>
                <w:color w:val="000000"/>
                <w:sz w:val="20"/>
                <w:szCs w:val="20"/>
              </w:rPr>
            </w:pPr>
          </w:p>
        </w:tc>
        <w:tc>
          <w:tcPr>
            <w:tcW w:w="1900" w:type="dxa"/>
            <w:tcBorders>
              <w:top w:val="nil"/>
              <w:left w:val="nil"/>
              <w:bottom w:val="single" w:sz="4" w:space="0" w:color="auto"/>
              <w:right w:val="single" w:sz="4" w:space="0" w:color="auto"/>
            </w:tcBorders>
            <w:shd w:val="clear" w:color="auto" w:fill="auto"/>
            <w:noWrap/>
            <w:vAlign w:val="center"/>
            <w:hideMark/>
          </w:tcPr>
          <w:p w14:paraId="1357C10F"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29%</w:t>
            </w:r>
          </w:p>
        </w:tc>
        <w:tc>
          <w:tcPr>
            <w:tcW w:w="1900" w:type="dxa"/>
            <w:tcBorders>
              <w:top w:val="nil"/>
              <w:left w:val="nil"/>
              <w:bottom w:val="single" w:sz="4" w:space="0" w:color="auto"/>
              <w:right w:val="nil"/>
            </w:tcBorders>
            <w:shd w:val="clear" w:color="auto" w:fill="auto"/>
            <w:noWrap/>
            <w:vAlign w:val="center"/>
            <w:hideMark/>
          </w:tcPr>
          <w:p w14:paraId="289616F8"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20.81%</w:t>
            </w:r>
          </w:p>
        </w:tc>
        <w:tc>
          <w:tcPr>
            <w:tcW w:w="1420" w:type="dxa"/>
            <w:vMerge/>
            <w:tcBorders>
              <w:top w:val="nil"/>
              <w:left w:val="single" w:sz="4" w:space="0" w:color="auto"/>
              <w:bottom w:val="single" w:sz="8" w:space="0" w:color="000000"/>
              <w:right w:val="single" w:sz="8" w:space="0" w:color="auto"/>
            </w:tcBorders>
            <w:vAlign w:val="center"/>
            <w:hideMark/>
          </w:tcPr>
          <w:p w14:paraId="20FBFC9D" w14:textId="77777777" w:rsidR="00CE1A3A" w:rsidRPr="00CE1A3A" w:rsidRDefault="00CE1A3A" w:rsidP="00CE1A3A">
            <w:pPr>
              <w:spacing w:line="240" w:lineRule="auto"/>
              <w:jc w:val="left"/>
              <w:rPr>
                <w:rFonts w:cs="Arial"/>
                <w:color w:val="000000"/>
                <w:sz w:val="20"/>
                <w:szCs w:val="20"/>
              </w:rPr>
            </w:pPr>
          </w:p>
        </w:tc>
      </w:tr>
      <w:tr w:rsidR="00CE1A3A" w:rsidRPr="00CE1A3A" w14:paraId="7F03BE05" w14:textId="77777777" w:rsidTr="00441928">
        <w:trPr>
          <w:trHeight w:val="300"/>
          <w:jc w:val="center"/>
        </w:trPr>
        <w:tc>
          <w:tcPr>
            <w:tcW w:w="3040" w:type="dxa"/>
            <w:vMerge/>
            <w:tcBorders>
              <w:top w:val="nil"/>
              <w:left w:val="single" w:sz="8" w:space="0" w:color="auto"/>
              <w:bottom w:val="single" w:sz="8" w:space="0" w:color="000000"/>
              <w:right w:val="single" w:sz="4" w:space="0" w:color="auto"/>
            </w:tcBorders>
            <w:vAlign w:val="center"/>
            <w:hideMark/>
          </w:tcPr>
          <w:p w14:paraId="4FE9264A" w14:textId="77777777" w:rsidR="00CE1A3A" w:rsidRPr="00CE1A3A" w:rsidRDefault="00CE1A3A" w:rsidP="00CE1A3A">
            <w:pPr>
              <w:spacing w:line="240" w:lineRule="auto"/>
              <w:jc w:val="left"/>
              <w:rPr>
                <w:rFonts w:cs="Arial"/>
                <w:color w:val="000000"/>
                <w:sz w:val="20"/>
                <w:szCs w:val="20"/>
              </w:rPr>
            </w:pPr>
          </w:p>
        </w:tc>
        <w:tc>
          <w:tcPr>
            <w:tcW w:w="1900" w:type="dxa"/>
            <w:tcBorders>
              <w:top w:val="nil"/>
              <w:left w:val="nil"/>
              <w:bottom w:val="single" w:sz="4" w:space="0" w:color="auto"/>
              <w:right w:val="single" w:sz="4" w:space="0" w:color="auto"/>
            </w:tcBorders>
            <w:shd w:val="clear" w:color="auto" w:fill="auto"/>
            <w:noWrap/>
            <w:vAlign w:val="center"/>
            <w:hideMark/>
          </w:tcPr>
          <w:p w14:paraId="3E6EBF06"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30%</w:t>
            </w:r>
          </w:p>
        </w:tc>
        <w:tc>
          <w:tcPr>
            <w:tcW w:w="1900" w:type="dxa"/>
            <w:tcBorders>
              <w:top w:val="nil"/>
              <w:left w:val="nil"/>
              <w:bottom w:val="single" w:sz="4" w:space="0" w:color="auto"/>
              <w:right w:val="nil"/>
            </w:tcBorders>
            <w:shd w:val="clear" w:color="auto" w:fill="auto"/>
            <w:noWrap/>
            <w:vAlign w:val="center"/>
            <w:hideMark/>
          </w:tcPr>
          <w:p w14:paraId="39A3105D"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21.79%</w:t>
            </w:r>
          </w:p>
        </w:tc>
        <w:tc>
          <w:tcPr>
            <w:tcW w:w="1420" w:type="dxa"/>
            <w:vMerge/>
            <w:tcBorders>
              <w:top w:val="nil"/>
              <w:left w:val="single" w:sz="4" w:space="0" w:color="auto"/>
              <w:bottom w:val="single" w:sz="8" w:space="0" w:color="000000"/>
              <w:right w:val="single" w:sz="8" w:space="0" w:color="auto"/>
            </w:tcBorders>
            <w:vAlign w:val="center"/>
            <w:hideMark/>
          </w:tcPr>
          <w:p w14:paraId="3FB788B1" w14:textId="77777777" w:rsidR="00CE1A3A" w:rsidRPr="00CE1A3A" w:rsidRDefault="00CE1A3A" w:rsidP="00CE1A3A">
            <w:pPr>
              <w:spacing w:line="240" w:lineRule="auto"/>
              <w:jc w:val="left"/>
              <w:rPr>
                <w:rFonts w:cs="Arial"/>
                <w:color w:val="000000"/>
                <w:sz w:val="20"/>
                <w:szCs w:val="20"/>
              </w:rPr>
            </w:pPr>
          </w:p>
        </w:tc>
      </w:tr>
      <w:tr w:rsidR="00CE1A3A" w:rsidRPr="00CE1A3A" w14:paraId="3CADB62B" w14:textId="77777777" w:rsidTr="00441928">
        <w:trPr>
          <w:trHeight w:val="300"/>
          <w:jc w:val="center"/>
        </w:trPr>
        <w:tc>
          <w:tcPr>
            <w:tcW w:w="3040" w:type="dxa"/>
            <w:vMerge/>
            <w:tcBorders>
              <w:top w:val="nil"/>
              <w:left w:val="single" w:sz="8" w:space="0" w:color="auto"/>
              <w:bottom w:val="single" w:sz="8" w:space="0" w:color="000000"/>
              <w:right w:val="single" w:sz="4" w:space="0" w:color="auto"/>
            </w:tcBorders>
            <w:vAlign w:val="center"/>
            <w:hideMark/>
          </w:tcPr>
          <w:p w14:paraId="4D9DD035" w14:textId="77777777" w:rsidR="00CE1A3A" w:rsidRPr="00CE1A3A" w:rsidRDefault="00CE1A3A" w:rsidP="00CE1A3A">
            <w:pPr>
              <w:spacing w:line="240" w:lineRule="auto"/>
              <w:jc w:val="left"/>
              <w:rPr>
                <w:rFonts w:cs="Arial"/>
                <w:color w:val="000000"/>
                <w:sz w:val="20"/>
                <w:szCs w:val="20"/>
              </w:rPr>
            </w:pPr>
          </w:p>
        </w:tc>
        <w:tc>
          <w:tcPr>
            <w:tcW w:w="19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A496DFA"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 </w:t>
            </w:r>
          </w:p>
        </w:tc>
        <w:tc>
          <w:tcPr>
            <w:tcW w:w="1900" w:type="dxa"/>
            <w:tcBorders>
              <w:top w:val="nil"/>
              <w:left w:val="nil"/>
              <w:bottom w:val="single" w:sz="4" w:space="0" w:color="auto"/>
              <w:right w:val="nil"/>
            </w:tcBorders>
            <w:shd w:val="clear" w:color="auto" w:fill="auto"/>
            <w:noWrap/>
            <w:vAlign w:val="center"/>
            <w:hideMark/>
          </w:tcPr>
          <w:p w14:paraId="2E0CD8CD"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22.77%</w:t>
            </w:r>
          </w:p>
        </w:tc>
        <w:tc>
          <w:tcPr>
            <w:tcW w:w="1420" w:type="dxa"/>
            <w:vMerge/>
            <w:tcBorders>
              <w:top w:val="nil"/>
              <w:left w:val="single" w:sz="4" w:space="0" w:color="auto"/>
              <w:bottom w:val="single" w:sz="8" w:space="0" w:color="000000"/>
              <w:right w:val="single" w:sz="8" w:space="0" w:color="auto"/>
            </w:tcBorders>
            <w:vAlign w:val="center"/>
            <w:hideMark/>
          </w:tcPr>
          <w:p w14:paraId="3DE6072A" w14:textId="77777777" w:rsidR="00CE1A3A" w:rsidRPr="00CE1A3A" w:rsidRDefault="00CE1A3A" w:rsidP="00CE1A3A">
            <w:pPr>
              <w:spacing w:line="240" w:lineRule="auto"/>
              <w:jc w:val="left"/>
              <w:rPr>
                <w:rFonts w:cs="Arial"/>
                <w:color w:val="000000"/>
                <w:sz w:val="20"/>
                <w:szCs w:val="20"/>
              </w:rPr>
            </w:pPr>
          </w:p>
        </w:tc>
      </w:tr>
      <w:tr w:rsidR="00CE1A3A" w:rsidRPr="00CE1A3A" w14:paraId="66633739" w14:textId="77777777" w:rsidTr="00441928">
        <w:trPr>
          <w:trHeight w:val="315"/>
          <w:jc w:val="center"/>
        </w:trPr>
        <w:tc>
          <w:tcPr>
            <w:tcW w:w="3040" w:type="dxa"/>
            <w:vMerge/>
            <w:tcBorders>
              <w:top w:val="nil"/>
              <w:left w:val="single" w:sz="8" w:space="0" w:color="auto"/>
              <w:bottom w:val="single" w:sz="8" w:space="0" w:color="000000"/>
              <w:right w:val="single" w:sz="4" w:space="0" w:color="auto"/>
            </w:tcBorders>
            <w:vAlign w:val="center"/>
            <w:hideMark/>
          </w:tcPr>
          <w:p w14:paraId="6F325647" w14:textId="77777777" w:rsidR="00CE1A3A" w:rsidRPr="00CE1A3A" w:rsidRDefault="00CE1A3A" w:rsidP="00CE1A3A">
            <w:pPr>
              <w:spacing w:line="240" w:lineRule="auto"/>
              <w:jc w:val="left"/>
              <w:rPr>
                <w:rFonts w:cs="Arial"/>
                <w:color w:val="000000"/>
                <w:sz w:val="20"/>
                <w:szCs w:val="20"/>
              </w:rPr>
            </w:pPr>
          </w:p>
        </w:tc>
        <w:tc>
          <w:tcPr>
            <w:tcW w:w="1900" w:type="dxa"/>
            <w:vMerge/>
            <w:tcBorders>
              <w:top w:val="nil"/>
              <w:left w:val="single" w:sz="4" w:space="0" w:color="auto"/>
              <w:bottom w:val="single" w:sz="8" w:space="0" w:color="000000"/>
              <w:right w:val="single" w:sz="4" w:space="0" w:color="auto"/>
            </w:tcBorders>
            <w:vAlign w:val="center"/>
            <w:hideMark/>
          </w:tcPr>
          <w:p w14:paraId="7924C6A5" w14:textId="77777777" w:rsidR="00CE1A3A" w:rsidRPr="00CE1A3A" w:rsidRDefault="00CE1A3A" w:rsidP="00CE1A3A">
            <w:pPr>
              <w:spacing w:line="240" w:lineRule="auto"/>
              <w:jc w:val="left"/>
              <w:rPr>
                <w:rFonts w:cs="Arial"/>
                <w:color w:val="000000"/>
                <w:sz w:val="20"/>
                <w:szCs w:val="20"/>
              </w:rPr>
            </w:pPr>
          </w:p>
        </w:tc>
        <w:tc>
          <w:tcPr>
            <w:tcW w:w="1900" w:type="dxa"/>
            <w:tcBorders>
              <w:top w:val="nil"/>
              <w:left w:val="nil"/>
              <w:bottom w:val="single" w:sz="8" w:space="0" w:color="auto"/>
              <w:right w:val="nil"/>
            </w:tcBorders>
            <w:shd w:val="clear" w:color="auto" w:fill="auto"/>
            <w:noWrap/>
            <w:vAlign w:val="center"/>
            <w:hideMark/>
          </w:tcPr>
          <w:p w14:paraId="12E594AA" w14:textId="77777777" w:rsidR="00CE1A3A" w:rsidRPr="00CE1A3A" w:rsidRDefault="00CE1A3A" w:rsidP="00CE1A3A">
            <w:pPr>
              <w:spacing w:line="240" w:lineRule="auto"/>
              <w:jc w:val="center"/>
              <w:rPr>
                <w:rFonts w:cs="Arial"/>
                <w:color w:val="000000"/>
                <w:sz w:val="20"/>
                <w:szCs w:val="20"/>
              </w:rPr>
            </w:pPr>
            <w:r w:rsidRPr="00CE1A3A">
              <w:rPr>
                <w:rFonts w:cs="Arial"/>
                <w:color w:val="000000"/>
                <w:sz w:val="20"/>
                <w:szCs w:val="20"/>
              </w:rPr>
              <w:t>23.75%</w:t>
            </w:r>
          </w:p>
        </w:tc>
        <w:tc>
          <w:tcPr>
            <w:tcW w:w="1420" w:type="dxa"/>
            <w:vMerge/>
            <w:tcBorders>
              <w:top w:val="nil"/>
              <w:left w:val="single" w:sz="4" w:space="0" w:color="auto"/>
              <w:bottom w:val="single" w:sz="8" w:space="0" w:color="000000"/>
              <w:right w:val="single" w:sz="8" w:space="0" w:color="auto"/>
            </w:tcBorders>
            <w:vAlign w:val="center"/>
            <w:hideMark/>
          </w:tcPr>
          <w:p w14:paraId="0C8506D1" w14:textId="77777777" w:rsidR="00CE1A3A" w:rsidRPr="00CE1A3A" w:rsidRDefault="00CE1A3A" w:rsidP="00CE1A3A">
            <w:pPr>
              <w:spacing w:line="240" w:lineRule="auto"/>
              <w:jc w:val="left"/>
              <w:rPr>
                <w:rFonts w:cs="Arial"/>
                <w:color w:val="000000"/>
                <w:sz w:val="20"/>
                <w:szCs w:val="20"/>
              </w:rPr>
            </w:pPr>
          </w:p>
        </w:tc>
      </w:tr>
    </w:tbl>
    <w:p w14:paraId="34E557CD" w14:textId="25218019" w:rsidR="00C7027D" w:rsidRPr="00537B53" w:rsidRDefault="0053151C" w:rsidP="00C7027D">
      <w:r>
        <w:t xml:space="preserve"> </w:t>
      </w:r>
      <w:bookmarkEnd w:id="281"/>
    </w:p>
    <w:p w14:paraId="5D6633D4" w14:textId="743D24B1" w:rsidR="00C7027D" w:rsidRDefault="00C7027D" w:rsidP="00C7027D">
      <w:pPr>
        <w:rPr>
          <w:szCs w:val="24"/>
        </w:rPr>
      </w:pPr>
      <w:r>
        <w:rPr>
          <w:szCs w:val="24"/>
        </w:rPr>
        <w:t xml:space="preserve">Positive LFE represents an </w:t>
      </w:r>
      <w:r w:rsidR="004F4B25">
        <w:rPr>
          <w:szCs w:val="24"/>
        </w:rPr>
        <w:t>under</w:t>
      </w:r>
      <w:r>
        <w:rPr>
          <w:szCs w:val="24"/>
        </w:rPr>
        <w:t xml:space="preserve"> forecasted load, meaning actual load was </w:t>
      </w:r>
      <w:r w:rsidR="004F4B25">
        <w:rPr>
          <w:szCs w:val="24"/>
        </w:rPr>
        <w:t>greater</w:t>
      </w:r>
      <w:r>
        <w:rPr>
          <w:szCs w:val="24"/>
        </w:rPr>
        <w:t xml:space="preserve"> than</w:t>
      </w:r>
      <w:r w:rsidR="00CB6F5F">
        <w:rPr>
          <w:szCs w:val="24"/>
        </w:rPr>
        <w:t xml:space="preserve"> the</w:t>
      </w:r>
      <w:r>
        <w:rPr>
          <w:szCs w:val="24"/>
        </w:rPr>
        <w:t xml:space="preserve"> forecasted load.</w:t>
      </w:r>
    </w:p>
    <w:p w14:paraId="34DF3C7C" w14:textId="4C6544F8" w:rsidR="00C56A27" w:rsidRDefault="00435D70" w:rsidP="00217F0E">
      <w:pPr>
        <w:rPr>
          <w:szCs w:val="24"/>
        </w:rPr>
      </w:pPr>
      <w:r>
        <w:rPr>
          <w:szCs w:val="24"/>
        </w:rPr>
        <w:t xml:space="preserve"> </w:t>
      </w:r>
    </w:p>
    <w:p w14:paraId="66953C4C" w14:textId="77777777" w:rsidR="00435D70" w:rsidRDefault="00435D70" w:rsidP="00217F0E">
      <w:pPr>
        <w:rPr>
          <w:szCs w:val="24"/>
        </w:rPr>
      </w:pPr>
    </w:p>
    <w:p w14:paraId="347E53DC" w14:textId="257B11E3" w:rsidR="004F4B25" w:rsidRDefault="009C08AF" w:rsidP="00217F0E">
      <w:r>
        <w:t xml:space="preserve">Existing </w:t>
      </w:r>
      <w:r w:rsidR="00892D87">
        <w:t>S</w:t>
      </w:r>
      <w:r w:rsidR="00435D70">
        <w:t>ystem resources also needed to be removed from the model to establish the initial 20.00% winter and 12.00% summer reserve margins</w:t>
      </w:r>
      <w:r>
        <w:t xml:space="preserve"> prior to the incremental addition of the expansion resources</w:t>
      </w:r>
      <w:r w:rsidR="00435D70">
        <w:t>. The choice of these resources was generally based on depreciation date although some smaller</w:t>
      </w:r>
      <w:r w:rsidR="00B80173">
        <w:t xml:space="preserve"> </w:t>
      </w:r>
      <w:r w:rsidR="00435D70">
        <w:t>CT resources were chosen based on capacity to precisely target the exact seasonal capacity</w:t>
      </w:r>
      <w:r w:rsidR="00CB6F5F">
        <w:t xml:space="preserve"> required</w:t>
      </w:r>
      <w:r w:rsidR="00435D70">
        <w:t xml:space="preserve"> to within 2 MWs of total </w:t>
      </w:r>
      <w:r w:rsidR="4C582D8B">
        <w:t>S</w:t>
      </w:r>
      <w:r w:rsidR="00435D70">
        <w:t>ystem capacity.</w:t>
      </w:r>
      <w:r w:rsidR="00B80173">
        <w:t xml:space="preserve"> </w:t>
      </w:r>
    </w:p>
    <w:p w14:paraId="2E316F30" w14:textId="77777777" w:rsidR="004F4B25" w:rsidRDefault="004F4B25" w:rsidP="00217F0E">
      <w:pPr>
        <w:rPr>
          <w:szCs w:val="24"/>
        </w:rPr>
      </w:pPr>
    </w:p>
    <w:p w14:paraId="0EA0E1FD" w14:textId="5D4F7DA4" w:rsidR="00B80173" w:rsidRDefault="00B80173" w:rsidP="00B80173">
      <w:pPr>
        <w:pStyle w:val="Caption"/>
        <w:keepNext/>
      </w:pPr>
      <w:bookmarkStart w:id="282" w:name="_Toc187234646"/>
      <w:r>
        <w:t xml:space="preserve">Table </w:t>
      </w:r>
      <w:r>
        <w:fldChar w:fldCharType="begin"/>
      </w:r>
      <w:r>
        <w:instrText xml:space="preserve"> STYLEREF 1 \s </w:instrText>
      </w:r>
      <w:r>
        <w:fldChar w:fldCharType="separate"/>
      </w:r>
      <w:r>
        <w:rPr>
          <w:noProof/>
        </w:rPr>
        <w:t>II</w:t>
      </w:r>
      <w:r>
        <w:rPr>
          <w:noProof/>
        </w:rPr>
        <w:fldChar w:fldCharType="end"/>
      </w:r>
      <w:r>
        <w:noBreakHyphen/>
      </w:r>
      <w:r>
        <w:fldChar w:fldCharType="begin"/>
      </w:r>
      <w:r>
        <w:instrText xml:space="preserve"> SEQ Table \* ARABIC \s 1 </w:instrText>
      </w:r>
      <w:r>
        <w:fldChar w:fldCharType="separate"/>
      </w:r>
      <w:r>
        <w:rPr>
          <w:noProof/>
        </w:rPr>
        <w:t>2</w:t>
      </w:r>
      <w:r>
        <w:rPr>
          <w:noProof/>
        </w:rPr>
        <w:fldChar w:fldCharType="end"/>
      </w:r>
      <w:r>
        <w:t>. Capacity Removed to Establish</w:t>
      </w:r>
      <w:r w:rsidR="00044CB7">
        <w:t xml:space="preserve"> the</w:t>
      </w:r>
      <w:r>
        <w:t xml:space="preserve"> Initial Reserve Margin</w:t>
      </w:r>
      <w:r w:rsidR="00CB6F5F">
        <w:t xml:space="preserve"> Level</w:t>
      </w:r>
      <w:bookmarkEnd w:id="282"/>
    </w:p>
    <w:tbl>
      <w:tblPr>
        <w:tblW w:w="7910" w:type="dxa"/>
        <w:jc w:val="center"/>
        <w:tblLook w:val="04A0" w:firstRow="1" w:lastRow="0" w:firstColumn="1" w:lastColumn="0" w:noHBand="0" w:noVBand="1"/>
      </w:tblPr>
      <w:tblGrid>
        <w:gridCol w:w="3040"/>
        <w:gridCol w:w="2440"/>
        <w:gridCol w:w="2430"/>
      </w:tblGrid>
      <w:tr w:rsidR="00CE1A3A" w:rsidRPr="00CE1A3A" w14:paraId="0D317D82" w14:textId="77777777" w:rsidTr="00441928">
        <w:trPr>
          <w:trHeight w:val="510"/>
          <w:jc w:val="center"/>
        </w:trPr>
        <w:tc>
          <w:tcPr>
            <w:tcW w:w="3040"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0C2682B0" w14:textId="77777777" w:rsidR="00CE1A3A" w:rsidRPr="00CE1A3A" w:rsidRDefault="00CE1A3A" w:rsidP="00CE1A3A">
            <w:pPr>
              <w:spacing w:line="240" w:lineRule="auto"/>
              <w:jc w:val="center"/>
              <w:rPr>
                <w:rFonts w:cs="Arial"/>
                <w:b/>
                <w:bCs/>
                <w:color w:val="000000"/>
                <w:sz w:val="20"/>
                <w:szCs w:val="20"/>
              </w:rPr>
            </w:pPr>
            <w:r w:rsidRPr="00CE1A3A">
              <w:rPr>
                <w:rFonts w:cs="Arial"/>
                <w:b/>
                <w:bCs/>
                <w:color w:val="000000"/>
                <w:sz w:val="20"/>
                <w:szCs w:val="20"/>
              </w:rPr>
              <w:t>Technology</w:t>
            </w:r>
          </w:p>
        </w:tc>
        <w:tc>
          <w:tcPr>
            <w:tcW w:w="2440" w:type="dxa"/>
            <w:tcBorders>
              <w:top w:val="single" w:sz="8" w:space="0" w:color="auto"/>
              <w:left w:val="nil"/>
              <w:bottom w:val="single" w:sz="4" w:space="0" w:color="auto"/>
              <w:right w:val="single" w:sz="4" w:space="0" w:color="auto"/>
            </w:tcBorders>
            <w:shd w:val="clear" w:color="auto" w:fill="auto"/>
            <w:vAlign w:val="center"/>
            <w:hideMark/>
          </w:tcPr>
          <w:p w14:paraId="3C704BC4" w14:textId="473C32AA" w:rsidR="00CE1A3A" w:rsidRPr="00CE1A3A" w:rsidRDefault="00CE1A3A" w:rsidP="00CE1A3A">
            <w:pPr>
              <w:spacing w:line="240" w:lineRule="auto"/>
              <w:jc w:val="center"/>
              <w:rPr>
                <w:rFonts w:cs="Arial"/>
                <w:b/>
                <w:bCs/>
                <w:color w:val="000000"/>
                <w:sz w:val="20"/>
                <w:szCs w:val="20"/>
              </w:rPr>
            </w:pPr>
            <w:r w:rsidRPr="00CE1A3A">
              <w:rPr>
                <w:rFonts w:cs="Arial"/>
                <w:b/>
                <w:bCs/>
                <w:color w:val="000000"/>
                <w:sz w:val="20"/>
                <w:szCs w:val="20"/>
              </w:rPr>
              <w:t>Winter Capacity</w:t>
            </w:r>
            <w:r w:rsidR="00A648A6">
              <w:rPr>
                <w:rFonts w:cs="Arial"/>
                <w:b/>
                <w:bCs/>
                <w:color w:val="000000"/>
                <w:sz w:val="20"/>
                <w:szCs w:val="20"/>
              </w:rPr>
              <w:t xml:space="preserve"> </w:t>
            </w:r>
            <w:r w:rsidRPr="00CE1A3A">
              <w:rPr>
                <w:rFonts w:cs="Arial"/>
                <w:b/>
                <w:bCs/>
                <w:color w:val="000000"/>
                <w:sz w:val="20"/>
                <w:szCs w:val="20"/>
              </w:rPr>
              <w:t xml:space="preserve"> Removed for 20% RM</w:t>
            </w:r>
          </w:p>
        </w:tc>
        <w:tc>
          <w:tcPr>
            <w:tcW w:w="2430" w:type="dxa"/>
            <w:tcBorders>
              <w:top w:val="single" w:sz="8" w:space="0" w:color="auto"/>
              <w:left w:val="nil"/>
              <w:bottom w:val="single" w:sz="4" w:space="0" w:color="auto"/>
              <w:right w:val="single" w:sz="8" w:space="0" w:color="auto"/>
            </w:tcBorders>
            <w:shd w:val="clear" w:color="auto" w:fill="auto"/>
            <w:vAlign w:val="center"/>
            <w:hideMark/>
          </w:tcPr>
          <w:p w14:paraId="3B177007" w14:textId="77777777" w:rsidR="00CE1A3A" w:rsidRPr="00CE1A3A" w:rsidRDefault="00CE1A3A" w:rsidP="00CE1A3A">
            <w:pPr>
              <w:spacing w:line="240" w:lineRule="auto"/>
              <w:jc w:val="center"/>
              <w:rPr>
                <w:rFonts w:cs="Arial"/>
                <w:b/>
                <w:bCs/>
                <w:color w:val="000000"/>
                <w:sz w:val="20"/>
                <w:szCs w:val="20"/>
              </w:rPr>
            </w:pPr>
            <w:r w:rsidRPr="00CE1A3A">
              <w:rPr>
                <w:rFonts w:cs="Arial"/>
                <w:b/>
                <w:bCs/>
                <w:color w:val="000000"/>
                <w:sz w:val="20"/>
                <w:szCs w:val="20"/>
              </w:rPr>
              <w:t>Summer Capacity Removed for 12% RM</w:t>
            </w:r>
          </w:p>
        </w:tc>
      </w:tr>
      <w:tr w:rsidR="00CE1A3A" w:rsidRPr="00CE1A3A" w14:paraId="6DFA3432" w14:textId="77777777" w:rsidTr="00441928">
        <w:trPr>
          <w:trHeight w:val="300"/>
          <w:jc w:val="center"/>
        </w:trPr>
        <w:tc>
          <w:tcPr>
            <w:tcW w:w="3040" w:type="dxa"/>
            <w:tcBorders>
              <w:top w:val="nil"/>
              <w:left w:val="single" w:sz="8" w:space="0" w:color="auto"/>
              <w:bottom w:val="single" w:sz="4" w:space="0" w:color="auto"/>
              <w:right w:val="single" w:sz="4" w:space="0" w:color="auto"/>
            </w:tcBorders>
            <w:shd w:val="clear" w:color="auto" w:fill="auto"/>
            <w:noWrap/>
            <w:vAlign w:val="center"/>
            <w:hideMark/>
          </w:tcPr>
          <w:p w14:paraId="3EA8AA36" w14:textId="77777777" w:rsidR="00CE1A3A" w:rsidRPr="00CE1A3A" w:rsidRDefault="00CE1A3A" w:rsidP="009C08AF">
            <w:pPr>
              <w:spacing w:line="240" w:lineRule="auto"/>
              <w:jc w:val="left"/>
              <w:rPr>
                <w:rFonts w:cs="Arial"/>
                <w:color w:val="000000"/>
                <w:sz w:val="20"/>
                <w:szCs w:val="20"/>
              </w:rPr>
            </w:pPr>
            <w:r w:rsidRPr="00CE1A3A">
              <w:rPr>
                <w:rFonts w:cs="Arial"/>
                <w:color w:val="000000"/>
                <w:sz w:val="20"/>
                <w:szCs w:val="20"/>
              </w:rPr>
              <w:t>Coal</w:t>
            </w:r>
          </w:p>
        </w:tc>
        <w:tc>
          <w:tcPr>
            <w:tcW w:w="2440" w:type="dxa"/>
            <w:tcBorders>
              <w:top w:val="nil"/>
              <w:left w:val="nil"/>
              <w:bottom w:val="single" w:sz="4" w:space="0" w:color="auto"/>
              <w:right w:val="nil"/>
            </w:tcBorders>
            <w:shd w:val="clear" w:color="auto" w:fill="auto"/>
            <w:noWrap/>
            <w:vAlign w:val="center"/>
            <w:hideMark/>
          </w:tcPr>
          <w:p w14:paraId="6796A61E" w14:textId="1A7735C9" w:rsidR="00CE1A3A" w:rsidRPr="00CE1A3A" w:rsidRDefault="00CE1A3A" w:rsidP="003955AF">
            <w:pPr>
              <w:spacing w:line="240" w:lineRule="auto"/>
              <w:jc w:val="center"/>
              <w:rPr>
                <w:rFonts w:cs="Arial"/>
                <w:color w:val="000000"/>
                <w:sz w:val="20"/>
                <w:szCs w:val="20"/>
              </w:rPr>
            </w:pPr>
            <w:r w:rsidRPr="00CE1A3A">
              <w:rPr>
                <w:rFonts w:cs="Arial"/>
                <w:color w:val="000000"/>
                <w:sz w:val="20"/>
                <w:szCs w:val="20"/>
              </w:rPr>
              <w:t>690</w:t>
            </w:r>
          </w:p>
        </w:tc>
        <w:tc>
          <w:tcPr>
            <w:tcW w:w="2430" w:type="dxa"/>
            <w:tcBorders>
              <w:top w:val="nil"/>
              <w:left w:val="single" w:sz="4" w:space="0" w:color="auto"/>
              <w:bottom w:val="single" w:sz="4" w:space="0" w:color="auto"/>
              <w:right w:val="single" w:sz="8" w:space="0" w:color="auto"/>
            </w:tcBorders>
            <w:shd w:val="clear" w:color="auto" w:fill="auto"/>
            <w:noWrap/>
            <w:vAlign w:val="center"/>
            <w:hideMark/>
          </w:tcPr>
          <w:p w14:paraId="196FB833" w14:textId="2D8D5307" w:rsidR="00CE1A3A" w:rsidRPr="00CE1A3A" w:rsidRDefault="00CE1A3A" w:rsidP="003955AF">
            <w:pPr>
              <w:spacing w:line="240" w:lineRule="auto"/>
              <w:jc w:val="center"/>
              <w:rPr>
                <w:rFonts w:cs="Arial"/>
                <w:color w:val="000000"/>
                <w:sz w:val="20"/>
                <w:szCs w:val="20"/>
              </w:rPr>
            </w:pPr>
            <w:r w:rsidRPr="00CE1A3A">
              <w:rPr>
                <w:rFonts w:cs="Arial"/>
                <w:color w:val="000000"/>
                <w:sz w:val="20"/>
                <w:szCs w:val="20"/>
              </w:rPr>
              <w:t>2,088</w:t>
            </w:r>
          </w:p>
        </w:tc>
      </w:tr>
      <w:tr w:rsidR="00CE1A3A" w:rsidRPr="00CE1A3A" w14:paraId="7B41D6F5" w14:textId="77777777" w:rsidTr="00441928">
        <w:trPr>
          <w:trHeight w:val="300"/>
          <w:jc w:val="center"/>
        </w:trPr>
        <w:tc>
          <w:tcPr>
            <w:tcW w:w="3040" w:type="dxa"/>
            <w:tcBorders>
              <w:top w:val="nil"/>
              <w:left w:val="single" w:sz="8" w:space="0" w:color="auto"/>
              <w:bottom w:val="single" w:sz="4" w:space="0" w:color="auto"/>
              <w:right w:val="single" w:sz="4" w:space="0" w:color="auto"/>
            </w:tcBorders>
            <w:shd w:val="clear" w:color="auto" w:fill="auto"/>
            <w:noWrap/>
            <w:vAlign w:val="center"/>
            <w:hideMark/>
          </w:tcPr>
          <w:p w14:paraId="32B160CB" w14:textId="77777777" w:rsidR="00CE1A3A" w:rsidRPr="00CE1A3A" w:rsidRDefault="00CE1A3A" w:rsidP="009C08AF">
            <w:pPr>
              <w:spacing w:line="240" w:lineRule="auto"/>
              <w:jc w:val="left"/>
              <w:rPr>
                <w:rFonts w:cs="Arial"/>
                <w:color w:val="000000"/>
                <w:sz w:val="20"/>
                <w:szCs w:val="20"/>
              </w:rPr>
            </w:pPr>
            <w:r w:rsidRPr="00CE1A3A">
              <w:rPr>
                <w:rFonts w:cs="Arial"/>
                <w:color w:val="000000"/>
                <w:sz w:val="20"/>
                <w:szCs w:val="20"/>
              </w:rPr>
              <w:t>Gas Steam</w:t>
            </w:r>
          </w:p>
        </w:tc>
        <w:tc>
          <w:tcPr>
            <w:tcW w:w="2440" w:type="dxa"/>
            <w:tcBorders>
              <w:top w:val="nil"/>
              <w:left w:val="nil"/>
              <w:bottom w:val="single" w:sz="4" w:space="0" w:color="auto"/>
              <w:right w:val="nil"/>
            </w:tcBorders>
            <w:shd w:val="clear" w:color="auto" w:fill="auto"/>
            <w:noWrap/>
            <w:vAlign w:val="center"/>
            <w:hideMark/>
          </w:tcPr>
          <w:p w14:paraId="59DB24AF" w14:textId="064FBCDD" w:rsidR="00CE1A3A" w:rsidRPr="00CE1A3A" w:rsidRDefault="00CE1A3A" w:rsidP="003955AF">
            <w:pPr>
              <w:spacing w:line="240" w:lineRule="auto"/>
              <w:jc w:val="center"/>
              <w:rPr>
                <w:rFonts w:cs="Arial"/>
                <w:color w:val="000000"/>
                <w:sz w:val="20"/>
                <w:szCs w:val="20"/>
              </w:rPr>
            </w:pPr>
            <w:r w:rsidRPr="00CE1A3A">
              <w:rPr>
                <w:rFonts w:cs="Arial"/>
                <w:color w:val="000000"/>
                <w:sz w:val="20"/>
                <w:szCs w:val="20"/>
              </w:rPr>
              <w:t>721</w:t>
            </w:r>
          </w:p>
        </w:tc>
        <w:tc>
          <w:tcPr>
            <w:tcW w:w="2430" w:type="dxa"/>
            <w:tcBorders>
              <w:top w:val="nil"/>
              <w:left w:val="single" w:sz="4" w:space="0" w:color="auto"/>
              <w:bottom w:val="single" w:sz="4" w:space="0" w:color="auto"/>
              <w:right w:val="single" w:sz="8" w:space="0" w:color="auto"/>
            </w:tcBorders>
            <w:shd w:val="clear" w:color="auto" w:fill="auto"/>
            <w:noWrap/>
            <w:vAlign w:val="center"/>
            <w:hideMark/>
          </w:tcPr>
          <w:p w14:paraId="471B3EB7" w14:textId="5F04CA75" w:rsidR="00CE1A3A" w:rsidRPr="00CE1A3A" w:rsidRDefault="00CE1A3A" w:rsidP="003955AF">
            <w:pPr>
              <w:spacing w:line="240" w:lineRule="auto"/>
              <w:jc w:val="center"/>
              <w:rPr>
                <w:rFonts w:cs="Arial"/>
                <w:color w:val="000000"/>
                <w:sz w:val="20"/>
                <w:szCs w:val="20"/>
              </w:rPr>
            </w:pPr>
            <w:r w:rsidRPr="00CE1A3A">
              <w:rPr>
                <w:rFonts w:cs="Arial"/>
                <w:color w:val="000000"/>
                <w:sz w:val="20"/>
                <w:szCs w:val="20"/>
              </w:rPr>
              <w:t>1,350</w:t>
            </w:r>
          </w:p>
        </w:tc>
      </w:tr>
      <w:tr w:rsidR="00CE1A3A" w:rsidRPr="00CE1A3A" w14:paraId="4AB8920A" w14:textId="77777777" w:rsidTr="00441928">
        <w:trPr>
          <w:trHeight w:val="315"/>
          <w:jc w:val="center"/>
        </w:trPr>
        <w:tc>
          <w:tcPr>
            <w:tcW w:w="3040" w:type="dxa"/>
            <w:tcBorders>
              <w:top w:val="nil"/>
              <w:left w:val="single" w:sz="8" w:space="0" w:color="auto"/>
              <w:bottom w:val="nil"/>
              <w:right w:val="single" w:sz="4" w:space="0" w:color="auto"/>
            </w:tcBorders>
            <w:shd w:val="clear" w:color="auto" w:fill="auto"/>
            <w:noWrap/>
            <w:vAlign w:val="center"/>
            <w:hideMark/>
          </w:tcPr>
          <w:p w14:paraId="27E06519" w14:textId="77777777" w:rsidR="00CE1A3A" w:rsidRPr="00CE1A3A" w:rsidRDefault="00CE1A3A" w:rsidP="009C08AF">
            <w:pPr>
              <w:spacing w:line="240" w:lineRule="auto"/>
              <w:jc w:val="left"/>
              <w:rPr>
                <w:rFonts w:cs="Arial"/>
                <w:color w:val="000000"/>
                <w:sz w:val="20"/>
                <w:szCs w:val="20"/>
              </w:rPr>
            </w:pPr>
            <w:r w:rsidRPr="00CE1A3A">
              <w:rPr>
                <w:rFonts w:cs="Arial"/>
                <w:color w:val="000000"/>
                <w:sz w:val="20"/>
                <w:szCs w:val="20"/>
              </w:rPr>
              <w:t>Combustion Turbine</w:t>
            </w:r>
          </w:p>
        </w:tc>
        <w:tc>
          <w:tcPr>
            <w:tcW w:w="2440" w:type="dxa"/>
            <w:tcBorders>
              <w:top w:val="nil"/>
              <w:left w:val="nil"/>
              <w:bottom w:val="nil"/>
              <w:right w:val="nil"/>
            </w:tcBorders>
            <w:shd w:val="clear" w:color="auto" w:fill="auto"/>
            <w:noWrap/>
            <w:vAlign w:val="center"/>
            <w:hideMark/>
          </w:tcPr>
          <w:p w14:paraId="66933FBB" w14:textId="5446169A" w:rsidR="00CE1A3A" w:rsidRPr="00CE1A3A" w:rsidRDefault="00CE1A3A" w:rsidP="003955AF">
            <w:pPr>
              <w:spacing w:line="240" w:lineRule="auto"/>
              <w:jc w:val="center"/>
              <w:rPr>
                <w:rFonts w:cs="Arial"/>
                <w:color w:val="000000"/>
                <w:sz w:val="20"/>
                <w:szCs w:val="20"/>
              </w:rPr>
            </w:pPr>
            <w:r w:rsidRPr="00CE1A3A">
              <w:rPr>
                <w:rFonts w:cs="Arial"/>
                <w:color w:val="000000"/>
                <w:sz w:val="20"/>
                <w:szCs w:val="20"/>
              </w:rPr>
              <w:t>95</w:t>
            </w:r>
          </w:p>
        </w:tc>
        <w:tc>
          <w:tcPr>
            <w:tcW w:w="2430" w:type="dxa"/>
            <w:tcBorders>
              <w:top w:val="nil"/>
              <w:left w:val="single" w:sz="4" w:space="0" w:color="auto"/>
              <w:bottom w:val="nil"/>
              <w:right w:val="single" w:sz="8" w:space="0" w:color="auto"/>
            </w:tcBorders>
            <w:shd w:val="clear" w:color="auto" w:fill="auto"/>
            <w:noWrap/>
            <w:vAlign w:val="center"/>
            <w:hideMark/>
          </w:tcPr>
          <w:p w14:paraId="3A00C5FF" w14:textId="20DC01FC" w:rsidR="00CE1A3A" w:rsidRPr="00CE1A3A" w:rsidRDefault="00CE1A3A" w:rsidP="003955AF">
            <w:pPr>
              <w:spacing w:line="240" w:lineRule="auto"/>
              <w:jc w:val="center"/>
              <w:rPr>
                <w:rFonts w:cs="Arial"/>
                <w:color w:val="000000"/>
                <w:sz w:val="20"/>
                <w:szCs w:val="20"/>
              </w:rPr>
            </w:pPr>
            <w:r w:rsidRPr="00CE1A3A">
              <w:rPr>
                <w:rFonts w:cs="Arial"/>
                <w:color w:val="000000"/>
                <w:sz w:val="20"/>
                <w:szCs w:val="20"/>
              </w:rPr>
              <w:t>720</w:t>
            </w:r>
          </w:p>
        </w:tc>
      </w:tr>
      <w:tr w:rsidR="00CE1A3A" w:rsidRPr="00CE1A3A" w14:paraId="70DAEB6F" w14:textId="77777777" w:rsidTr="00441928">
        <w:trPr>
          <w:trHeight w:val="315"/>
          <w:jc w:val="center"/>
        </w:trPr>
        <w:tc>
          <w:tcPr>
            <w:tcW w:w="304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25C771A3" w14:textId="77777777" w:rsidR="00CE1A3A" w:rsidRPr="00CE1A3A" w:rsidRDefault="00CE1A3A" w:rsidP="009C08AF">
            <w:pPr>
              <w:spacing w:line="240" w:lineRule="auto"/>
              <w:jc w:val="left"/>
              <w:rPr>
                <w:rFonts w:cs="Arial"/>
                <w:color w:val="000000"/>
                <w:sz w:val="20"/>
                <w:szCs w:val="20"/>
              </w:rPr>
            </w:pPr>
            <w:r w:rsidRPr="00CE1A3A">
              <w:rPr>
                <w:rFonts w:cs="Arial"/>
                <w:color w:val="000000"/>
                <w:sz w:val="20"/>
                <w:szCs w:val="20"/>
              </w:rPr>
              <w:t>Total Capacity Removed</w:t>
            </w:r>
          </w:p>
        </w:tc>
        <w:tc>
          <w:tcPr>
            <w:tcW w:w="2440" w:type="dxa"/>
            <w:tcBorders>
              <w:top w:val="single" w:sz="8" w:space="0" w:color="auto"/>
              <w:left w:val="nil"/>
              <w:bottom w:val="single" w:sz="8" w:space="0" w:color="auto"/>
              <w:right w:val="single" w:sz="4" w:space="0" w:color="auto"/>
            </w:tcBorders>
            <w:shd w:val="clear" w:color="auto" w:fill="auto"/>
            <w:noWrap/>
            <w:vAlign w:val="center"/>
            <w:hideMark/>
          </w:tcPr>
          <w:p w14:paraId="6F5F322F" w14:textId="75FC1404" w:rsidR="00CE1A3A" w:rsidRPr="00CE1A3A" w:rsidRDefault="00CE1A3A" w:rsidP="003955AF">
            <w:pPr>
              <w:spacing w:line="240" w:lineRule="auto"/>
              <w:jc w:val="center"/>
              <w:rPr>
                <w:rFonts w:cs="Arial"/>
                <w:color w:val="000000"/>
                <w:sz w:val="20"/>
                <w:szCs w:val="20"/>
              </w:rPr>
            </w:pPr>
            <w:r w:rsidRPr="00CE1A3A">
              <w:rPr>
                <w:rFonts w:cs="Arial"/>
                <w:color w:val="000000"/>
                <w:sz w:val="20"/>
                <w:szCs w:val="20"/>
              </w:rPr>
              <w:t>1,506</w:t>
            </w:r>
          </w:p>
        </w:tc>
        <w:tc>
          <w:tcPr>
            <w:tcW w:w="2430" w:type="dxa"/>
            <w:tcBorders>
              <w:top w:val="single" w:sz="8" w:space="0" w:color="auto"/>
              <w:left w:val="nil"/>
              <w:bottom w:val="single" w:sz="8" w:space="0" w:color="auto"/>
              <w:right w:val="single" w:sz="8" w:space="0" w:color="auto"/>
            </w:tcBorders>
            <w:shd w:val="clear" w:color="auto" w:fill="auto"/>
            <w:noWrap/>
            <w:vAlign w:val="center"/>
            <w:hideMark/>
          </w:tcPr>
          <w:p w14:paraId="32152937" w14:textId="1CEC8E3F" w:rsidR="00CE1A3A" w:rsidRPr="00CE1A3A" w:rsidRDefault="00CE1A3A" w:rsidP="003955AF">
            <w:pPr>
              <w:spacing w:line="240" w:lineRule="auto"/>
              <w:jc w:val="center"/>
              <w:rPr>
                <w:rFonts w:cs="Arial"/>
                <w:color w:val="000000"/>
                <w:sz w:val="20"/>
                <w:szCs w:val="20"/>
              </w:rPr>
            </w:pPr>
            <w:r w:rsidRPr="00CE1A3A">
              <w:rPr>
                <w:rFonts w:cs="Arial"/>
                <w:color w:val="000000"/>
                <w:sz w:val="20"/>
                <w:szCs w:val="20"/>
              </w:rPr>
              <w:t>4,158</w:t>
            </w:r>
          </w:p>
        </w:tc>
      </w:tr>
    </w:tbl>
    <w:p w14:paraId="2BC98AE8" w14:textId="77777777" w:rsidR="00B80173" w:rsidRDefault="00B80173" w:rsidP="00217F0E">
      <w:pPr>
        <w:rPr>
          <w:szCs w:val="24"/>
        </w:rPr>
      </w:pPr>
    </w:p>
    <w:p w14:paraId="7BD2CE4D" w14:textId="77777777" w:rsidR="00CE1A3A" w:rsidRDefault="00CE1A3A" w:rsidP="00217F0E">
      <w:pPr>
        <w:rPr>
          <w:szCs w:val="24"/>
        </w:rPr>
      </w:pPr>
    </w:p>
    <w:p w14:paraId="73202D2C" w14:textId="119AF8DC" w:rsidR="004C2FA2" w:rsidRDefault="00D278C2" w:rsidP="00217F0E">
      <w:pPr>
        <w:rPr>
          <w:szCs w:val="24"/>
        </w:rPr>
      </w:pPr>
      <w:r w:rsidRPr="00421157">
        <w:rPr>
          <w:szCs w:val="24"/>
        </w:rPr>
        <w:t>Without accounting for</w:t>
      </w:r>
      <w:r w:rsidR="004C2FA2" w:rsidRPr="00B138F0">
        <w:rPr>
          <w:szCs w:val="24"/>
        </w:rPr>
        <w:t xml:space="preserve"> load forecast uncertainty, the total number of combinations </w:t>
      </w:r>
      <w:r w:rsidR="001F6818" w:rsidRPr="00372AC4">
        <w:rPr>
          <w:szCs w:val="24"/>
        </w:rPr>
        <w:t>for the</w:t>
      </w:r>
      <w:r w:rsidRPr="00372AC4">
        <w:rPr>
          <w:szCs w:val="24"/>
        </w:rPr>
        <w:t xml:space="preserve"> analysis would be </w:t>
      </w:r>
      <w:r w:rsidR="007F036A" w:rsidRPr="00372AC4">
        <w:rPr>
          <w:szCs w:val="24"/>
        </w:rPr>
        <w:t>5</w:t>
      </w:r>
      <w:r w:rsidR="000B6DAD">
        <w:rPr>
          <w:szCs w:val="24"/>
        </w:rPr>
        <w:t>0</w:t>
      </w:r>
      <w:r w:rsidR="007F036A" w:rsidRPr="00372AC4">
        <w:rPr>
          <w:szCs w:val="24"/>
        </w:rPr>
        <w:t xml:space="preserve"> </w:t>
      </w:r>
      <w:r w:rsidR="00CD643B" w:rsidRPr="00372AC4">
        <w:rPr>
          <w:szCs w:val="24"/>
        </w:rPr>
        <w:t>×</w:t>
      </w:r>
      <w:r w:rsidR="00C051C4" w:rsidRPr="00372AC4">
        <w:rPr>
          <w:szCs w:val="24"/>
        </w:rPr>
        <w:t xml:space="preserve"> 2 </w:t>
      </w:r>
      <w:r w:rsidR="00CD643B" w:rsidRPr="00372AC4">
        <w:rPr>
          <w:szCs w:val="24"/>
        </w:rPr>
        <w:t>×</w:t>
      </w:r>
      <w:r w:rsidR="004C2FA2" w:rsidRPr="00372AC4">
        <w:rPr>
          <w:szCs w:val="24"/>
        </w:rPr>
        <w:t xml:space="preserve"> </w:t>
      </w:r>
      <w:r w:rsidR="0094575A" w:rsidRPr="00372AC4">
        <w:rPr>
          <w:szCs w:val="24"/>
        </w:rPr>
        <w:t>1</w:t>
      </w:r>
      <w:r w:rsidR="000B6DAD">
        <w:rPr>
          <w:szCs w:val="24"/>
        </w:rPr>
        <w:t>1</w:t>
      </w:r>
      <w:r w:rsidR="004C2FA2" w:rsidRPr="00372AC4">
        <w:rPr>
          <w:szCs w:val="24"/>
        </w:rPr>
        <w:t xml:space="preserve">, or </w:t>
      </w:r>
      <w:r w:rsidR="0094575A" w:rsidRPr="00372AC4">
        <w:rPr>
          <w:szCs w:val="24"/>
        </w:rPr>
        <w:t>1</w:t>
      </w:r>
      <w:r w:rsidR="00827602">
        <w:rPr>
          <w:szCs w:val="24"/>
        </w:rPr>
        <w:t>,</w:t>
      </w:r>
      <w:r w:rsidR="000B6DAD">
        <w:rPr>
          <w:szCs w:val="24"/>
        </w:rPr>
        <w:t>100</w:t>
      </w:r>
      <w:r w:rsidR="007F036A" w:rsidRPr="00372AC4">
        <w:rPr>
          <w:szCs w:val="24"/>
        </w:rPr>
        <w:t xml:space="preserve"> </w:t>
      </w:r>
      <w:r w:rsidR="004C2FA2" w:rsidRPr="00372AC4">
        <w:rPr>
          <w:szCs w:val="24"/>
        </w:rPr>
        <w:t>cases</w:t>
      </w:r>
      <w:r w:rsidR="001F6818" w:rsidRPr="00372AC4">
        <w:rPr>
          <w:szCs w:val="24"/>
        </w:rPr>
        <w:t xml:space="preserve">. </w:t>
      </w:r>
      <w:r w:rsidR="008547A8" w:rsidRPr="00372AC4">
        <w:rPr>
          <w:szCs w:val="24"/>
        </w:rPr>
        <w:t>Considering</w:t>
      </w:r>
      <w:r w:rsidR="00F12F59" w:rsidRPr="00372AC4">
        <w:rPr>
          <w:szCs w:val="24"/>
        </w:rPr>
        <w:t xml:space="preserve"> </w:t>
      </w:r>
      <w:r w:rsidR="001F6818" w:rsidRPr="00372AC4">
        <w:rPr>
          <w:szCs w:val="24"/>
        </w:rPr>
        <w:t xml:space="preserve">the </w:t>
      </w:r>
      <w:r w:rsidR="00A03E56">
        <w:rPr>
          <w:szCs w:val="24"/>
        </w:rPr>
        <w:t>five</w:t>
      </w:r>
      <w:r w:rsidR="001F6818" w:rsidRPr="00372AC4">
        <w:rPr>
          <w:szCs w:val="24"/>
        </w:rPr>
        <w:t xml:space="preserve"> load forecast points yields </w:t>
      </w:r>
      <w:r w:rsidR="000B6DAD">
        <w:rPr>
          <w:szCs w:val="24"/>
        </w:rPr>
        <w:t>5</w:t>
      </w:r>
      <w:r w:rsidR="00827602">
        <w:rPr>
          <w:szCs w:val="24"/>
        </w:rPr>
        <w:t>,</w:t>
      </w:r>
      <w:r w:rsidR="00A03E56">
        <w:rPr>
          <w:szCs w:val="24"/>
        </w:rPr>
        <w:t>5</w:t>
      </w:r>
      <w:r w:rsidR="000B6DAD">
        <w:rPr>
          <w:szCs w:val="24"/>
        </w:rPr>
        <w:t>0</w:t>
      </w:r>
      <w:r w:rsidR="00A03E56">
        <w:rPr>
          <w:szCs w:val="24"/>
        </w:rPr>
        <w:t>0</w:t>
      </w:r>
      <w:r w:rsidR="007F036A" w:rsidRPr="00372AC4">
        <w:rPr>
          <w:szCs w:val="24"/>
        </w:rPr>
        <w:t xml:space="preserve"> </w:t>
      </w:r>
      <w:r w:rsidR="001F6818" w:rsidRPr="00372AC4">
        <w:rPr>
          <w:szCs w:val="24"/>
        </w:rPr>
        <w:t>cases (</w:t>
      </w:r>
      <w:r w:rsidR="00BD567A">
        <w:rPr>
          <w:szCs w:val="24"/>
        </w:rPr>
        <w:t>5</w:t>
      </w:r>
      <w:r w:rsidR="000B6DAD">
        <w:rPr>
          <w:szCs w:val="24"/>
        </w:rPr>
        <w:t>0</w:t>
      </w:r>
      <w:r w:rsidR="000A2237">
        <w:rPr>
          <w:szCs w:val="24"/>
        </w:rPr>
        <w:t> </w:t>
      </w:r>
      <w:r w:rsidR="001C3F49" w:rsidRPr="00372AC4">
        <w:rPr>
          <w:szCs w:val="24"/>
        </w:rPr>
        <w:t>×</w:t>
      </w:r>
      <w:r w:rsidR="00C051C4" w:rsidRPr="00372AC4">
        <w:rPr>
          <w:szCs w:val="24"/>
        </w:rPr>
        <w:t xml:space="preserve"> 2 </w:t>
      </w:r>
      <w:r w:rsidR="001C3F49" w:rsidRPr="00372AC4">
        <w:rPr>
          <w:szCs w:val="24"/>
        </w:rPr>
        <w:t xml:space="preserve">× </w:t>
      </w:r>
      <w:r w:rsidR="0094575A" w:rsidRPr="00372AC4">
        <w:rPr>
          <w:szCs w:val="24"/>
        </w:rPr>
        <w:t>1</w:t>
      </w:r>
      <w:r w:rsidR="000B6DAD">
        <w:rPr>
          <w:szCs w:val="24"/>
        </w:rPr>
        <w:t>1</w:t>
      </w:r>
      <w:r w:rsidR="0094575A" w:rsidRPr="00372AC4">
        <w:rPr>
          <w:szCs w:val="24"/>
        </w:rPr>
        <w:t xml:space="preserve"> </w:t>
      </w:r>
      <w:r w:rsidR="001C3F49" w:rsidRPr="00372AC4">
        <w:rPr>
          <w:szCs w:val="24"/>
        </w:rPr>
        <w:t>×</w:t>
      </w:r>
      <w:r w:rsidR="001F6818" w:rsidRPr="00372AC4">
        <w:rPr>
          <w:szCs w:val="24"/>
        </w:rPr>
        <w:t xml:space="preserve"> </w:t>
      </w:r>
      <w:r w:rsidR="00A03E56">
        <w:rPr>
          <w:szCs w:val="24"/>
        </w:rPr>
        <w:t>5</w:t>
      </w:r>
      <w:r w:rsidR="001C3F49" w:rsidRPr="00372AC4">
        <w:rPr>
          <w:szCs w:val="24"/>
        </w:rPr>
        <w:t xml:space="preserve"> cases</w:t>
      </w:r>
      <w:r w:rsidR="001F6818" w:rsidRPr="00372AC4">
        <w:rPr>
          <w:szCs w:val="24"/>
        </w:rPr>
        <w:t xml:space="preserve">). </w:t>
      </w:r>
      <w:r w:rsidR="007F036A">
        <w:rPr>
          <w:szCs w:val="24"/>
        </w:rPr>
        <w:t xml:space="preserve">Each of these cases were then evaluated 100 different times, each with a different set of random forced outage draws on the generating resources, yielding </w:t>
      </w:r>
      <w:r w:rsidR="000B6DAD">
        <w:rPr>
          <w:szCs w:val="24"/>
        </w:rPr>
        <w:t>550</w:t>
      </w:r>
      <w:r w:rsidR="009E1642">
        <w:rPr>
          <w:szCs w:val="24"/>
        </w:rPr>
        <w:t>,</w:t>
      </w:r>
      <w:r w:rsidR="00A03E56">
        <w:rPr>
          <w:szCs w:val="24"/>
        </w:rPr>
        <w:t>0</w:t>
      </w:r>
      <w:r w:rsidR="00A51F90">
        <w:rPr>
          <w:szCs w:val="24"/>
        </w:rPr>
        <w:t xml:space="preserve">00 </w:t>
      </w:r>
      <w:r w:rsidR="009E1642">
        <w:rPr>
          <w:szCs w:val="24"/>
        </w:rPr>
        <w:t>production cost simulations</w:t>
      </w:r>
      <w:r w:rsidR="00A51F90">
        <w:rPr>
          <w:szCs w:val="24"/>
        </w:rPr>
        <w:t xml:space="preserve"> (</w:t>
      </w:r>
      <w:r w:rsidR="00BD567A">
        <w:rPr>
          <w:szCs w:val="24"/>
        </w:rPr>
        <w:t>5</w:t>
      </w:r>
      <w:r w:rsidR="000B6DAD">
        <w:rPr>
          <w:szCs w:val="24"/>
        </w:rPr>
        <w:t>0</w:t>
      </w:r>
      <w:r w:rsidR="000A2237">
        <w:rPr>
          <w:szCs w:val="24"/>
        </w:rPr>
        <w:t> </w:t>
      </w:r>
      <w:r w:rsidR="00A51F90">
        <w:rPr>
          <w:szCs w:val="24"/>
        </w:rPr>
        <w:t>x 2 x 1</w:t>
      </w:r>
      <w:r w:rsidR="000B6DAD">
        <w:rPr>
          <w:szCs w:val="24"/>
        </w:rPr>
        <w:t>1</w:t>
      </w:r>
      <w:r w:rsidR="00A03E56">
        <w:rPr>
          <w:szCs w:val="24"/>
        </w:rPr>
        <w:t xml:space="preserve"> </w:t>
      </w:r>
      <w:r w:rsidR="00A51F90">
        <w:rPr>
          <w:szCs w:val="24"/>
        </w:rPr>
        <w:t xml:space="preserve">x </w:t>
      </w:r>
      <w:r w:rsidR="00A03E56">
        <w:rPr>
          <w:szCs w:val="24"/>
        </w:rPr>
        <w:t>5</w:t>
      </w:r>
      <w:r w:rsidR="00A51F90">
        <w:rPr>
          <w:szCs w:val="24"/>
        </w:rPr>
        <w:t xml:space="preserve"> x 100 cases).</w:t>
      </w:r>
      <w:r w:rsidR="007F036A">
        <w:rPr>
          <w:szCs w:val="24"/>
        </w:rPr>
        <w:t xml:space="preserve"> </w:t>
      </w:r>
      <w:r w:rsidR="004C2FA2" w:rsidRPr="00372AC4">
        <w:rPr>
          <w:szCs w:val="24"/>
        </w:rPr>
        <w:t>Estimating EUE</w:t>
      </w:r>
      <w:r w:rsidR="005201A3">
        <w:rPr>
          <w:szCs w:val="24"/>
        </w:rPr>
        <w:t>, LOLE, and costs</w:t>
      </w:r>
      <w:r w:rsidR="004C2FA2" w:rsidRPr="00372AC4">
        <w:rPr>
          <w:szCs w:val="24"/>
        </w:rPr>
        <w:t xml:space="preserve"> for each of the </w:t>
      </w:r>
      <w:r w:rsidR="00A03E56">
        <w:rPr>
          <w:szCs w:val="24"/>
        </w:rPr>
        <w:t>5</w:t>
      </w:r>
      <w:r w:rsidR="000B6DAD">
        <w:rPr>
          <w:szCs w:val="24"/>
        </w:rPr>
        <w:t>50</w:t>
      </w:r>
      <w:r w:rsidR="00E175F8">
        <w:rPr>
          <w:szCs w:val="24"/>
        </w:rPr>
        <w:t>,</w:t>
      </w:r>
      <w:r w:rsidR="00A03E56">
        <w:rPr>
          <w:szCs w:val="24"/>
        </w:rPr>
        <w:t>0</w:t>
      </w:r>
      <w:r w:rsidR="00A51F90">
        <w:rPr>
          <w:szCs w:val="24"/>
        </w:rPr>
        <w:t>00</w:t>
      </w:r>
      <w:r w:rsidR="00A51F90" w:rsidRPr="00372AC4">
        <w:rPr>
          <w:szCs w:val="24"/>
        </w:rPr>
        <w:t xml:space="preserve"> </w:t>
      </w:r>
      <w:r w:rsidR="009E1642">
        <w:rPr>
          <w:szCs w:val="24"/>
        </w:rPr>
        <w:t>simulations</w:t>
      </w:r>
      <w:r w:rsidR="004C2FA2" w:rsidRPr="00372AC4">
        <w:rPr>
          <w:szCs w:val="24"/>
        </w:rPr>
        <w:t xml:space="preserve"> provides sufficient data for regression analysis of other combinations not specifically </w:t>
      </w:r>
      <w:r w:rsidR="008547A8">
        <w:rPr>
          <w:szCs w:val="24"/>
        </w:rPr>
        <w:t>simulated</w:t>
      </w:r>
      <w:r w:rsidR="004C2FA2" w:rsidRPr="00372AC4">
        <w:rPr>
          <w:szCs w:val="24"/>
        </w:rPr>
        <w:t>.</w:t>
      </w:r>
      <w:r w:rsidR="00A51F90">
        <w:rPr>
          <w:szCs w:val="24"/>
        </w:rPr>
        <w:t xml:space="preserve"> </w:t>
      </w:r>
      <w:r w:rsidR="00802AE6">
        <w:rPr>
          <w:szCs w:val="24"/>
        </w:rPr>
        <w:t>The Summer focus analysis required 650,000 production cost simulations (50 x 2 x 13 x 5 x 100 cases) due to the two additional reserve margin levels</w:t>
      </w:r>
      <w:r w:rsidR="00A51F90">
        <w:rPr>
          <w:szCs w:val="24"/>
        </w:rPr>
        <w:t>.</w:t>
      </w:r>
    </w:p>
    <w:p w14:paraId="3471DFCE" w14:textId="77777777" w:rsidR="00DB03D1" w:rsidRPr="00372AC4" w:rsidRDefault="00DB03D1" w:rsidP="00217F0E">
      <w:pPr>
        <w:rPr>
          <w:szCs w:val="24"/>
        </w:rPr>
      </w:pPr>
    </w:p>
    <w:p w14:paraId="0FA3AE31" w14:textId="77777777" w:rsidR="00697CE5" w:rsidRPr="00421157" w:rsidRDefault="004C2FA2" w:rsidP="00A76839">
      <w:pPr>
        <w:pStyle w:val="Heading2"/>
        <w:numPr>
          <w:ilvl w:val="1"/>
          <w:numId w:val="13"/>
        </w:numPr>
        <w:ind w:left="360"/>
      </w:pPr>
      <w:bookmarkStart w:id="283" w:name="_Toc222110698"/>
      <w:bookmarkStart w:id="284" w:name="_Toc440262226"/>
      <w:bookmarkStart w:id="285" w:name="_Toc440447897"/>
      <w:bookmarkStart w:id="286" w:name="_Toc440457947"/>
      <w:bookmarkStart w:id="287" w:name="_Toc513710350"/>
      <w:bookmarkStart w:id="288" w:name="_Toc187234612"/>
      <w:r w:rsidRPr="00DB641B">
        <w:t>Probabilities of Occurrence for Input Variables</w:t>
      </w:r>
      <w:bookmarkEnd w:id="283"/>
      <w:bookmarkEnd w:id="284"/>
      <w:bookmarkEnd w:id="285"/>
      <w:bookmarkEnd w:id="286"/>
      <w:bookmarkEnd w:id="287"/>
      <w:bookmarkEnd w:id="288"/>
    </w:p>
    <w:p w14:paraId="155E44CD" w14:textId="7A9827B2" w:rsidR="00C17D1C" w:rsidRPr="002E72CB" w:rsidRDefault="004C2FA2" w:rsidP="00C17D1C">
      <w:pPr>
        <w:rPr>
          <w:szCs w:val="24"/>
        </w:rPr>
      </w:pPr>
      <w:r w:rsidRPr="00C627E2">
        <w:rPr>
          <w:szCs w:val="24"/>
        </w:rPr>
        <w:t xml:space="preserve">As discussed in the previous sections, the chronological variable inputs into the model are used </w:t>
      </w:r>
      <w:r w:rsidRPr="00421157">
        <w:rPr>
          <w:szCs w:val="24"/>
        </w:rPr>
        <w:t xml:space="preserve">to represent appropriate ranges of data. For example, the weather years selected to exemplify load variations due to temperature changes represent </w:t>
      </w:r>
      <w:r w:rsidR="00E11700" w:rsidRPr="00B138F0">
        <w:rPr>
          <w:szCs w:val="24"/>
        </w:rPr>
        <w:t>5</w:t>
      </w:r>
      <w:r w:rsidR="000626D5">
        <w:rPr>
          <w:szCs w:val="24"/>
        </w:rPr>
        <w:t>0</w:t>
      </w:r>
      <w:r w:rsidR="00B469CE" w:rsidRPr="00372AC4">
        <w:rPr>
          <w:szCs w:val="24"/>
        </w:rPr>
        <w:t xml:space="preserve"> </w:t>
      </w:r>
      <w:r w:rsidRPr="00372AC4">
        <w:rPr>
          <w:szCs w:val="24"/>
        </w:rPr>
        <w:t>years of historical data. This is also true for</w:t>
      </w:r>
      <w:r w:rsidR="004F0A2F" w:rsidRPr="00372AC4">
        <w:rPr>
          <w:szCs w:val="24"/>
        </w:rPr>
        <w:t xml:space="preserve"> the hydro patterns </w:t>
      </w:r>
      <w:r w:rsidR="00152638" w:rsidRPr="00372AC4">
        <w:rPr>
          <w:szCs w:val="24"/>
        </w:rPr>
        <w:t xml:space="preserve">and solar profiles </w:t>
      </w:r>
      <w:r w:rsidR="004F0A2F" w:rsidRPr="00372AC4">
        <w:rPr>
          <w:szCs w:val="24"/>
        </w:rPr>
        <w:t xml:space="preserve">developed. </w:t>
      </w:r>
      <w:r w:rsidR="0002710A">
        <w:rPr>
          <w:szCs w:val="24"/>
        </w:rPr>
        <w:t>Each, however</w:t>
      </w:r>
      <w:r w:rsidR="00A03E56">
        <w:rPr>
          <w:szCs w:val="24"/>
        </w:rPr>
        <w:t>,</w:t>
      </w:r>
      <w:r w:rsidR="0002710A">
        <w:rPr>
          <w:szCs w:val="24"/>
        </w:rPr>
        <w:t xml:space="preserve"> were </w:t>
      </w:r>
      <w:r w:rsidR="00E57200">
        <w:rPr>
          <w:szCs w:val="24"/>
        </w:rPr>
        <w:t>modeled</w:t>
      </w:r>
      <w:r w:rsidR="0002710A">
        <w:rPr>
          <w:szCs w:val="24"/>
        </w:rPr>
        <w:t xml:space="preserve"> twice – once with a Saturday start and once with a Tuesday start – resulting in 1</w:t>
      </w:r>
      <w:r w:rsidR="000626D5">
        <w:rPr>
          <w:szCs w:val="24"/>
        </w:rPr>
        <w:t>00</w:t>
      </w:r>
      <w:r w:rsidR="0002710A">
        <w:rPr>
          <w:szCs w:val="24"/>
        </w:rPr>
        <w:t xml:space="preserve"> different weather/hydro </w:t>
      </w:r>
      <w:r w:rsidR="000A2237">
        <w:rPr>
          <w:szCs w:val="24"/>
        </w:rPr>
        <w:t>datasets</w:t>
      </w:r>
      <w:r w:rsidR="0002710A">
        <w:rPr>
          <w:szCs w:val="24"/>
        </w:rPr>
        <w:t xml:space="preserve">. </w:t>
      </w:r>
      <w:r w:rsidRPr="00372AC4">
        <w:rPr>
          <w:szCs w:val="24"/>
        </w:rPr>
        <w:t xml:space="preserve">The implementation of load forecast uncertainty into the evaluation is representative of the potential (supported by historical information) </w:t>
      </w:r>
      <w:r w:rsidR="00FD2083">
        <w:rPr>
          <w:szCs w:val="24"/>
        </w:rPr>
        <w:t>LFEs</w:t>
      </w:r>
      <w:r w:rsidR="00CD43FB" w:rsidRPr="00372AC4">
        <w:rPr>
          <w:szCs w:val="24"/>
        </w:rPr>
        <w:t xml:space="preserve"> </w:t>
      </w:r>
      <w:r w:rsidRPr="00372AC4">
        <w:rPr>
          <w:szCs w:val="24"/>
        </w:rPr>
        <w:t xml:space="preserve">when </w:t>
      </w:r>
      <w:r w:rsidR="00F71DBA" w:rsidRPr="00372AC4">
        <w:rPr>
          <w:szCs w:val="24"/>
        </w:rPr>
        <w:t>considering</w:t>
      </w:r>
      <w:r w:rsidRPr="00372AC4">
        <w:rPr>
          <w:szCs w:val="24"/>
        </w:rPr>
        <w:t xml:space="preserve"> the future.</w:t>
      </w:r>
      <w:r w:rsidR="0002710A">
        <w:rPr>
          <w:szCs w:val="24"/>
        </w:rPr>
        <w:t xml:space="preserve"> Each </w:t>
      </w:r>
      <w:r w:rsidR="00D4207A">
        <w:rPr>
          <w:szCs w:val="24"/>
        </w:rPr>
        <w:t xml:space="preserve">of the </w:t>
      </w:r>
      <w:r w:rsidR="00A03E56">
        <w:rPr>
          <w:szCs w:val="24"/>
        </w:rPr>
        <w:t>five</w:t>
      </w:r>
      <w:r w:rsidR="00FD2083">
        <w:rPr>
          <w:szCs w:val="24"/>
        </w:rPr>
        <w:t xml:space="preserve"> </w:t>
      </w:r>
      <w:r w:rsidR="00D4207A">
        <w:rPr>
          <w:szCs w:val="24"/>
        </w:rPr>
        <w:t xml:space="preserve">forecast errors </w:t>
      </w:r>
      <w:r w:rsidR="0002710A">
        <w:rPr>
          <w:szCs w:val="24"/>
        </w:rPr>
        <w:t>has its own probability of occurrence</w:t>
      </w:r>
      <w:r w:rsidR="005974A3">
        <w:rPr>
          <w:szCs w:val="24"/>
        </w:rPr>
        <w:t>.</w:t>
      </w:r>
      <w:r w:rsidR="0002710A">
        <w:rPr>
          <w:szCs w:val="24"/>
        </w:rPr>
        <w:t xml:space="preserve"> </w:t>
      </w:r>
      <w:bookmarkStart w:id="289" w:name="_Hlk534630304"/>
      <w:r w:rsidR="007D518B">
        <w:rPr>
          <w:szCs w:val="24"/>
        </w:rPr>
        <w:t>For each reserve margin studied, t</w:t>
      </w:r>
      <w:r w:rsidR="0002710A">
        <w:rPr>
          <w:szCs w:val="24"/>
        </w:rPr>
        <w:t xml:space="preserve">he </w:t>
      </w:r>
      <w:r w:rsidR="00D4207A">
        <w:rPr>
          <w:szCs w:val="24"/>
        </w:rPr>
        <w:t xml:space="preserve">combined set of input variables results in </w:t>
      </w:r>
      <w:r w:rsidR="00A03E56">
        <w:rPr>
          <w:szCs w:val="24"/>
        </w:rPr>
        <w:t>5</w:t>
      </w:r>
      <w:r w:rsidR="000626D5">
        <w:rPr>
          <w:szCs w:val="24"/>
        </w:rPr>
        <w:t>0</w:t>
      </w:r>
      <w:r w:rsidR="00A03E56">
        <w:rPr>
          <w:szCs w:val="24"/>
        </w:rPr>
        <w:t>0</w:t>
      </w:r>
      <w:r w:rsidR="00D4207A">
        <w:rPr>
          <w:szCs w:val="24"/>
        </w:rPr>
        <w:t xml:space="preserve"> individual cases having their own designated probability of occurrence to be used in the </w:t>
      </w:r>
      <w:r w:rsidRPr="00372AC4">
        <w:rPr>
          <w:szCs w:val="24"/>
        </w:rPr>
        <w:t>probabilistic evaluation.</w:t>
      </w:r>
      <w:bookmarkEnd w:id="289"/>
      <w:r w:rsidRPr="00372AC4">
        <w:rPr>
          <w:szCs w:val="24"/>
        </w:rPr>
        <w:t xml:space="preserve"> </w:t>
      </w:r>
      <w:r w:rsidR="007009BB">
        <w:rPr>
          <w:szCs w:val="24"/>
        </w:rPr>
        <w:fldChar w:fldCharType="begin"/>
      </w:r>
      <w:r w:rsidR="007009BB">
        <w:rPr>
          <w:szCs w:val="24"/>
        </w:rPr>
        <w:instrText xml:space="preserve"> REF _Ref513785971 \h </w:instrText>
      </w:r>
      <w:r w:rsidR="007009BB">
        <w:rPr>
          <w:szCs w:val="24"/>
        </w:rPr>
      </w:r>
      <w:r w:rsidR="007009BB">
        <w:rPr>
          <w:szCs w:val="24"/>
        </w:rPr>
        <w:fldChar w:fldCharType="separate"/>
      </w:r>
      <w:r w:rsidR="00161C58">
        <w:t xml:space="preserve">Table </w:t>
      </w:r>
      <w:r w:rsidR="00161C58">
        <w:rPr>
          <w:noProof/>
        </w:rPr>
        <w:t>II</w:t>
      </w:r>
      <w:r w:rsidR="00161C58">
        <w:noBreakHyphen/>
      </w:r>
      <w:r w:rsidR="00470546">
        <w:rPr>
          <w:noProof/>
        </w:rPr>
        <w:t>3</w:t>
      </w:r>
      <w:r w:rsidR="007009BB">
        <w:rPr>
          <w:szCs w:val="24"/>
        </w:rPr>
        <w:fldChar w:fldCharType="end"/>
      </w:r>
      <w:r w:rsidR="00F621A0">
        <w:rPr>
          <w:szCs w:val="24"/>
        </w:rPr>
        <w:t xml:space="preserve"> below</w:t>
      </w:r>
      <w:r w:rsidR="00A274E7" w:rsidRPr="00372AC4">
        <w:rPr>
          <w:szCs w:val="24"/>
        </w:rPr>
        <w:t xml:space="preserve"> </w:t>
      </w:r>
      <w:r w:rsidRPr="00372AC4">
        <w:rPr>
          <w:szCs w:val="24"/>
        </w:rPr>
        <w:t xml:space="preserve">depicts the probabilities assigned to each </w:t>
      </w:r>
      <w:r w:rsidR="0002710A">
        <w:rPr>
          <w:szCs w:val="24"/>
        </w:rPr>
        <w:t>of these variables</w:t>
      </w:r>
      <w:r w:rsidR="00E256DD">
        <w:rPr>
          <w:szCs w:val="24"/>
        </w:rPr>
        <w:t xml:space="preserve"> and the resulting probability for each case</w:t>
      </w:r>
      <w:r w:rsidRPr="00372AC4">
        <w:rPr>
          <w:szCs w:val="24"/>
        </w:rPr>
        <w:t>.</w:t>
      </w:r>
      <w:r w:rsidR="00E256DD">
        <w:rPr>
          <w:szCs w:val="24"/>
        </w:rPr>
        <w:t xml:space="preserve"> </w:t>
      </w:r>
      <w:r w:rsidR="00E71F48">
        <w:rPr>
          <w:szCs w:val="24"/>
        </w:rPr>
        <w:t xml:space="preserve">This </w:t>
      </w:r>
      <w:r w:rsidRPr="00372AC4">
        <w:rPr>
          <w:szCs w:val="24"/>
        </w:rPr>
        <w:t xml:space="preserve">total </w:t>
      </w:r>
      <w:r w:rsidR="00E71F48">
        <w:rPr>
          <w:szCs w:val="24"/>
        </w:rPr>
        <w:t xml:space="preserve">case </w:t>
      </w:r>
      <w:r w:rsidRPr="00372AC4">
        <w:rPr>
          <w:szCs w:val="24"/>
        </w:rPr>
        <w:t xml:space="preserve">probability </w:t>
      </w:r>
      <w:r w:rsidR="00E71F48">
        <w:rPr>
          <w:szCs w:val="24"/>
        </w:rPr>
        <w:t>is determined by</w:t>
      </w:r>
      <w:r w:rsidRPr="00372AC4">
        <w:rPr>
          <w:szCs w:val="24"/>
        </w:rPr>
        <w:t xml:space="preserve"> </w:t>
      </w:r>
      <w:r w:rsidR="005974A3">
        <w:rPr>
          <w:szCs w:val="24"/>
        </w:rPr>
        <w:t>multiplying</w:t>
      </w:r>
      <w:r w:rsidR="00E71F48">
        <w:rPr>
          <w:szCs w:val="24"/>
        </w:rPr>
        <w:t xml:space="preserve"> the probabilities of the </w:t>
      </w:r>
      <w:r w:rsidR="00E71F48" w:rsidRPr="002E72CB">
        <w:rPr>
          <w:szCs w:val="24"/>
        </w:rPr>
        <w:t>determinant</w:t>
      </w:r>
      <w:r w:rsidRPr="002E72CB">
        <w:rPr>
          <w:szCs w:val="24"/>
        </w:rPr>
        <w:t xml:space="preserve"> variables.</w:t>
      </w:r>
      <w:r w:rsidR="00C17D1C" w:rsidRPr="002E72CB">
        <w:rPr>
          <w:szCs w:val="24"/>
        </w:rPr>
        <w:t xml:space="preserve"> The weather years</w:t>
      </w:r>
      <w:r w:rsidR="008801EC" w:rsidRPr="002E72CB">
        <w:rPr>
          <w:szCs w:val="24"/>
        </w:rPr>
        <w:t xml:space="preserve"> </w:t>
      </w:r>
      <w:r w:rsidR="00E71F48" w:rsidRPr="002E72CB">
        <w:rPr>
          <w:szCs w:val="24"/>
        </w:rPr>
        <w:t xml:space="preserve">and </w:t>
      </w:r>
      <w:r w:rsidR="008801EC" w:rsidRPr="002E72CB">
        <w:rPr>
          <w:szCs w:val="24"/>
        </w:rPr>
        <w:t>start days</w:t>
      </w:r>
      <w:r w:rsidR="00E71F48" w:rsidRPr="002E72CB">
        <w:rPr>
          <w:szCs w:val="24"/>
        </w:rPr>
        <w:t xml:space="preserve"> all have </w:t>
      </w:r>
      <w:r w:rsidR="00C17D1C" w:rsidRPr="002E72CB">
        <w:rPr>
          <w:szCs w:val="24"/>
        </w:rPr>
        <w:t>equal</w:t>
      </w:r>
      <w:r w:rsidR="00E71F48" w:rsidRPr="002E72CB">
        <w:rPr>
          <w:szCs w:val="24"/>
        </w:rPr>
        <w:t xml:space="preserve"> probability of occurrence</w:t>
      </w:r>
      <w:r w:rsidR="00E175F8" w:rsidRPr="002E72CB">
        <w:rPr>
          <w:szCs w:val="24"/>
        </w:rPr>
        <w:t>.</w:t>
      </w:r>
      <w:r w:rsidR="00C17D1C" w:rsidRPr="002E72CB">
        <w:rPr>
          <w:szCs w:val="24"/>
        </w:rPr>
        <w:t xml:space="preserve"> </w:t>
      </w:r>
    </w:p>
    <w:p w14:paraId="5C822C63" w14:textId="77777777" w:rsidR="00400227" w:rsidRPr="002E72CB" w:rsidRDefault="00400227" w:rsidP="00DB641B">
      <w:pPr>
        <w:rPr>
          <w:szCs w:val="24"/>
        </w:rPr>
      </w:pPr>
    </w:p>
    <w:p w14:paraId="08EDA97C" w14:textId="7AF28A4F" w:rsidR="0053151C" w:rsidRDefault="0053151C" w:rsidP="0053151C">
      <w:pPr>
        <w:pStyle w:val="Caption"/>
        <w:keepNext/>
      </w:pPr>
      <w:bookmarkStart w:id="290" w:name="_Ref513785971"/>
      <w:bookmarkStart w:id="291" w:name="_Toc513710539"/>
      <w:bookmarkStart w:id="292" w:name="_Toc187234647"/>
      <w:r>
        <w:t xml:space="preserve">Table </w:t>
      </w:r>
      <w:r w:rsidR="00161C58">
        <w:fldChar w:fldCharType="begin"/>
      </w:r>
      <w:r w:rsidR="00161C58">
        <w:instrText xml:space="preserve"> STYLEREF 1 \s </w:instrText>
      </w:r>
      <w:r w:rsidR="00161C58">
        <w:fldChar w:fldCharType="separate"/>
      </w:r>
      <w:r w:rsidR="003955AF">
        <w:rPr>
          <w:noProof/>
        </w:rPr>
        <w:t>II</w:t>
      </w:r>
      <w:r w:rsidR="00161C58">
        <w:rPr>
          <w:noProof/>
        </w:rPr>
        <w:fldChar w:fldCharType="end"/>
      </w:r>
      <w:r w:rsidR="00922797">
        <w:noBreakHyphen/>
      </w:r>
      <w:r w:rsidR="00161C58">
        <w:fldChar w:fldCharType="begin"/>
      </w:r>
      <w:r w:rsidR="00161C58">
        <w:instrText xml:space="preserve"> SEQ Table \* ARABIC \s 1 </w:instrText>
      </w:r>
      <w:r w:rsidR="00161C58">
        <w:fldChar w:fldCharType="separate"/>
      </w:r>
      <w:r w:rsidR="00441928">
        <w:rPr>
          <w:noProof/>
        </w:rPr>
        <w:t>3</w:t>
      </w:r>
      <w:r w:rsidR="00161C58">
        <w:rPr>
          <w:noProof/>
        </w:rPr>
        <w:fldChar w:fldCharType="end"/>
      </w:r>
      <w:bookmarkEnd w:id="290"/>
      <w:r>
        <w:t>. Simulation Case Probability</w:t>
      </w:r>
      <w:bookmarkEnd w:id="291"/>
      <w:bookmarkEnd w:id="292"/>
    </w:p>
    <w:tbl>
      <w:tblPr>
        <w:tblW w:w="8160" w:type="dxa"/>
        <w:jc w:val="center"/>
        <w:tblLook w:val="04A0" w:firstRow="1" w:lastRow="0" w:firstColumn="1" w:lastColumn="0" w:noHBand="0" w:noVBand="1"/>
      </w:tblPr>
      <w:tblGrid>
        <w:gridCol w:w="1340"/>
        <w:gridCol w:w="1640"/>
        <w:gridCol w:w="1900"/>
        <w:gridCol w:w="1640"/>
        <w:gridCol w:w="1640"/>
      </w:tblGrid>
      <w:tr w:rsidR="000626D5" w:rsidRPr="000626D5" w14:paraId="48223873" w14:textId="77777777" w:rsidTr="00C8794D">
        <w:trPr>
          <w:trHeight w:val="615"/>
          <w:jc w:val="center"/>
        </w:trPr>
        <w:tc>
          <w:tcPr>
            <w:tcW w:w="134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5BAB0CA9" w14:textId="77777777" w:rsidR="000626D5" w:rsidRPr="000626D5" w:rsidRDefault="000626D5" w:rsidP="000626D5">
            <w:pPr>
              <w:spacing w:line="240" w:lineRule="auto"/>
              <w:jc w:val="center"/>
              <w:rPr>
                <w:rFonts w:ascii="Calibri" w:hAnsi="Calibri" w:cs="Calibri"/>
                <w:b/>
                <w:bCs/>
                <w:color w:val="000000"/>
                <w:sz w:val="22"/>
                <w:szCs w:val="22"/>
              </w:rPr>
            </w:pPr>
            <w:r w:rsidRPr="000626D5">
              <w:rPr>
                <w:rFonts w:ascii="Calibri" w:hAnsi="Calibri" w:cs="Calibri"/>
                <w:b/>
                <w:bCs/>
                <w:color w:val="000000"/>
                <w:sz w:val="22"/>
                <w:szCs w:val="22"/>
              </w:rPr>
              <w:t>LFE</w:t>
            </w:r>
          </w:p>
        </w:tc>
        <w:tc>
          <w:tcPr>
            <w:tcW w:w="1640" w:type="dxa"/>
            <w:tcBorders>
              <w:top w:val="single" w:sz="8" w:space="0" w:color="auto"/>
              <w:left w:val="nil"/>
              <w:bottom w:val="single" w:sz="8" w:space="0" w:color="auto"/>
              <w:right w:val="single" w:sz="4" w:space="0" w:color="auto"/>
            </w:tcBorders>
            <w:shd w:val="clear" w:color="auto" w:fill="auto"/>
            <w:vAlign w:val="center"/>
            <w:hideMark/>
          </w:tcPr>
          <w:p w14:paraId="4C1197FE" w14:textId="77777777" w:rsidR="000626D5" w:rsidRPr="000626D5" w:rsidRDefault="000626D5" w:rsidP="000626D5">
            <w:pPr>
              <w:spacing w:line="240" w:lineRule="auto"/>
              <w:jc w:val="center"/>
              <w:rPr>
                <w:rFonts w:ascii="Calibri" w:hAnsi="Calibri" w:cs="Calibri"/>
                <w:b/>
                <w:bCs/>
                <w:color w:val="000000"/>
                <w:sz w:val="22"/>
                <w:szCs w:val="22"/>
              </w:rPr>
            </w:pPr>
            <w:r w:rsidRPr="000626D5">
              <w:rPr>
                <w:rFonts w:ascii="Calibri" w:hAnsi="Calibri" w:cs="Calibri"/>
                <w:b/>
                <w:bCs/>
                <w:color w:val="000000"/>
                <w:sz w:val="22"/>
                <w:szCs w:val="22"/>
              </w:rPr>
              <w:t>LFE Probability</w:t>
            </w:r>
          </w:p>
        </w:tc>
        <w:tc>
          <w:tcPr>
            <w:tcW w:w="1900" w:type="dxa"/>
            <w:tcBorders>
              <w:top w:val="single" w:sz="8" w:space="0" w:color="auto"/>
              <w:left w:val="nil"/>
              <w:bottom w:val="single" w:sz="8" w:space="0" w:color="auto"/>
              <w:right w:val="single" w:sz="4" w:space="0" w:color="auto"/>
            </w:tcBorders>
            <w:shd w:val="clear" w:color="auto" w:fill="auto"/>
            <w:vAlign w:val="center"/>
            <w:hideMark/>
          </w:tcPr>
          <w:p w14:paraId="5A00DAFE" w14:textId="77777777" w:rsidR="000626D5" w:rsidRPr="000626D5" w:rsidRDefault="000626D5" w:rsidP="000626D5">
            <w:pPr>
              <w:spacing w:line="240" w:lineRule="auto"/>
              <w:jc w:val="center"/>
              <w:rPr>
                <w:rFonts w:ascii="Calibri" w:hAnsi="Calibri" w:cs="Calibri"/>
                <w:b/>
                <w:bCs/>
                <w:color w:val="000000"/>
                <w:sz w:val="22"/>
                <w:szCs w:val="22"/>
              </w:rPr>
            </w:pPr>
            <w:r w:rsidRPr="000626D5">
              <w:rPr>
                <w:rFonts w:ascii="Calibri" w:hAnsi="Calibri" w:cs="Calibri"/>
                <w:b/>
                <w:bCs/>
                <w:color w:val="000000"/>
                <w:sz w:val="22"/>
                <w:szCs w:val="22"/>
              </w:rPr>
              <w:t>Weather/Hydro Probability</w:t>
            </w:r>
          </w:p>
        </w:tc>
        <w:tc>
          <w:tcPr>
            <w:tcW w:w="1640" w:type="dxa"/>
            <w:tcBorders>
              <w:top w:val="single" w:sz="8" w:space="0" w:color="auto"/>
              <w:left w:val="nil"/>
              <w:bottom w:val="single" w:sz="8" w:space="0" w:color="auto"/>
              <w:right w:val="single" w:sz="4" w:space="0" w:color="auto"/>
            </w:tcBorders>
            <w:shd w:val="clear" w:color="auto" w:fill="auto"/>
            <w:vAlign w:val="center"/>
            <w:hideMark/>
          </w:tcPr>
          <w:p w14:paraId="6DDE1571" w14:textId="77777777" w:rsidR="000626D5" w:rsidRPr="000626D5" w:rsidRDefault="000626D5" w:rsidP="000626D5">
            <w:pPr>
              <w:spacing w:line="240" w:lineRule="auto"/>
              <w:jc w:val="center"/>
              <w:rPr>
                <w:rFonts w:ascii="Calibri" w:hAnsi="Calibri" w:cs="Calibri"/>
                <w:b/>
                <w:bCs/>
                <w:color w:val="000000"/>
                <w:sz w:val="22"/>
                <w:szCs w:val="22"/>
              </w:rPr>
            </w:pPr>
            <w:r w:rsidRPr="000626D5">
              <w:rPr>
                <w:rFonts w:ascii="Calibri" w:hAnsi="Calibri" w:cs="Calibri"/>
                <w:b/>
                <w:bCs/>
                <w:color w:val="000000"/>
                <w:sz w:val="22"/>
                <w:szCs w:val="22"/>
              </w:rPr>
              <w:t>Start Days Probability</w:t>
            </w:r>
          </w:p>
        </w:tc>
        <w:tc>
          <w:tcPr>
            <w:tcW w:w="1640" w:type="dxa"/>
            <w:tcBorders>
              <w:top w:val="single" w:sz="8" w:space="0" w:color="auto"/>
              <w:left w:val="nil"/>
              <w:bottom w:val="single" w:sz="8" w:space="0" w:color="auto"/>
              <w:right w:val="single" w:sz="8" w:space="0" w:color="auto"/>
            </w:tcBorders>
            <w:shd w:val="clear" w:color="auto" w:fill="auto"/>
            <w:vAlign w:val="center"/>
            <w:hideMark/>
          </w:tcPr>
          <w:p w14:paraId="7BE981B7" w14:textId="77777777" w:rsidR="000626D5" w:rsidRPr="000626D5" w:rsidRDefault="000626D5" w:rsidP="000626D5">
            <w:pPr>
              <w:spacing w:line="240" w:lineRule="auto"/>
              <w:jc w:val="center"/>
              <w:rPr>
                <w:rFonts w:ascii="Calibri" w:hAnsi="Calibri" w:cs="Calibri"/>
                <w:b/>
                <w:bCs/>
                <w:color w:val="000000"/>
                <w:sz w:val="22"/>
                <w:szCs w:val="22"/>
              </w:rPr>
            </w:pPr>
            <w:r w:rsidRPr="000626D5">
              <w:rPr>
                <w:rFonts w:ascii="Calibri" w:hAnsi="Calibri" w:cs="Calibri"/>
                <w:b/>
                <w:bCs/>
                <w:color w:val="000000"/>
                <w:sz w:val="22"/>
                <w:szCs w:val="22"/>
              </w:rPr>
              <w:t>Total Case Probability</w:t>
            </w:r>
          </w:p>
        </w:tc>
      </w:tr>
      <w:tr w:rsidR="000626D5" w:rsidRPr="000626D5" w14:paraId="02BCC976" w14:textId="77777777" w:rsidTr="00C8794D">
        <w:trPr>
          <w:trHeight w:val="300"/>
          <w:jc w:val="center"/>
        </w:trPr>
        <w:tc>
          <w:tcPr>
            <w:tcW w:w="1340" w:type="dxa"/>
            <w:tcBorders>
              <w:top w:val="nil"/>
              <w:left w:val="single" w:sz="8" w:space="0" w:color="auto"/>
              <w:bottom w:val="single" w:sz="4" w:space="0" w:color="auto"/>
              <w:right w:val="single" w:sz="4" w:space="0" w:color="auto"/>
            </w:tcBorders>
            <w:shd w:val="clear" w:color="auto" w:fill="auto"/>
            <w:noWrap/>
            <w:vAlign w:val="bottom"/>
            <w:hideMark/>
          </w:tcPr>
          <w:p w14:paraId="63DC6E10"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-6.12%</w:t>
            </w:r>
          </w:p>
        </w:tc>
        <w:tc>
          <w:tcPr>
            <w:tcW w:w="1640" w:type="dxa"/>
            <w:tcBorders>
              <w:top w:val="nil"/>
              <w:left w:val="nil"/>
              <w:bottom w:val="single" w:sz="4" w:space="0" w:color="auto"/>
              <w:right w:val="single" w:sz="4" w:space="0" w:color="auto"/>
            </w:tcBorders>
            <w:shd w:val="clear" w:color="auto" w:fill="auto"/>
            <w:noWrap/>
            <w:vAlign w:val="bottom"/>
            <w:hideMark/>
          </w:tcPr>
          <w:p w14:paraId="1A77574C"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0.1111</w:t>
            </w:r>
          </w:p>
        </w:tc>
        <w:tc>
          <w:tcPr>
            <w:tcW w:w="1900" w:type="dxa"/>
            <w:tcBorders>
              <w:top w:val="nil"/>
              <w:left w:val="nil"/>
              <w:bottom w:val="single" w:sz="4" w:space="0" w:color="auto"/>
              <w:right w:val="single" w:sz="4" w:space="0" w:color="auto"/>
            </w:tcBorders>
            <w:shd w:val="clear" w:color="auto" w:fill="auto"/>
            <w:noWrap/>
            <w:vAlign w:val="bottom"/>
            <w:hideMark/>
          </w:tcPr>
          <w:p w14:paraId="6F5CBF45"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0.02</w:t>
            </w:r>
          </w:p>
        </w:tc>
        <w:tc>
          <w:tcPr>
            <w:tcW w:w="1640" w:type="dxa"/>
            <w:tcBorders>
              <w:top w:val="nil"/>
              <w:left w:val="nil"/>
              <w:bottom w:val="single" w:sz="4" w:space="0" w:color="auto"/>
              <w:right w:val="single" w:sz="4" w:space="0" w:color="auto"/>
            </w:tcBorders>
            <w:shd w:val="clear" w:color="auto" w:fill="auto"/>
            <w:noWrap/>
            <w:vAlign w:val="bottom"/>
            <w:hideMark/>
          </w:tcPr>
          <w:p w14:paraId="5422B0E7"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0.5</w:t>
            </w:r>
          </w:p>
        </w:tc>
        <w:tc>
          <w:tcPr>
            <w:tcW w:w="1640" w:type="dxa"/>
            <w:tcBorders>
              <w:top w:val="nil"/>
              <w:left w:val="nil"/>
              <w:bottom w:val="single" w:sz="4" w:space="0" w:color="auto"/>
              <w:right w:val="single" w:sz="8" w:space="0" w:color="auto"/>
            </w:tcBorders>
            <w:shd w:val="clear" w:color="auto" w:fill="auto"/>
            <w:noWrap/>
            <w:vAlign w:val="bottom"/>
            <w:hideMark/>
          </w:tcPr>
          <w:p w14:paraId="51E96B0E"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0.001111</w:t>
            </w:r>
          </w:p>
        </w:tc>
      </w:tr>
      <w:tr w:rsidR="000626D5" w:rsidRPr="000626D5" w14:paraId="43DD48F8" w14:textId="77777777" w:rsidTr="00C8794D">
        <w:trPr>
          <w:trHeight w:val="300"/>
          <w:jc w:val="center"/>
        </w:trPr>
        <w:tc>
          <w:tcPr>
            <w:tcW w:w="1340" w:type="dxa"/>
            <w:tcBorders>
              <w:top w:val="nil"/>
              <w:left w:val="single" w:sz="8" w:space="0" w:color="auto"/>
              <w:bottom w:val="single" w:sz="4" w:space="0" w:color="auto"/>
              <w:right w:val="single" w:sz="4" w:space="0" w:color="auto"/>
            </w:tcBorders>
            <w:shd w:val="clear" w:color="auto" w:fill="auto"/>
            <w:noWrap/>
            <w:vAlign w:val="bottom"/>
            <w:hideMark/>
          </w:tcPr>
          <w:p w14:paraId="1F897163"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-3.06%</w:t>
            </w:r>
          </w:p>
        </w:tc>
        <w:tc>
          <w:tcPr>
            <w:tcW w:w="1640" w:type="dxa"/>
            <w:tcBorders>
              <w:top w:val="nil"/>
              <w:left w:val="nil"/>
              <w:bottom w:val="single" w:sz="4" w:space="0" w:color="auto"/>
              <w:right w:val="single" w:sz="4" w:space="0" w:color="auto"/>
            </w:tcBorders>
            <w:shd w:val="clear" w:color="auto" w:fill="auto"/>
            <w:noWrap/>
            <w:vAlign w:val="bottom"/>
            <w:hideMark/>
          </w:tcPr>
          <w:p w14:paraId="76CF9B4F"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0.2232</w:t>
            </w:r>
          </w:p>
        </w:tc>
        <w:tc>
          <w:tcPr>
            <w:tcW w:w="1900" w:type="dxa"/>
            <w:tcBorders>
              <w:top w:val="nil"/>
              <w:left w:val="nil"/>
              <w:bottom w:val="single" w:sz="4" w:space="0" w:color="auto"/>
              <w:right w:val="single" w:sz="4" w:space="0" w:color="auto"/>
            </w:tcBorders>
            <w:shd w:val="clear" w:color="auto" w:fill="auto"/>
            <w:noWrap/>
            <w:vAlign w:val="bottom"/>
            <w:hideMark/>
          </w:tcPr>
          <w:p w14:paraId="15862D53"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0.02</w:t>
            </w:r>
          </w:p>
        </w:tc>
        <w:tc>
          <w:tcPr>
            <w:tcW w:w="1640" w:type="dxa"/>
            <w:tcBorders>
              <w:top w:val="nil"/>
              <w:left w:val="nil"/>
              <w:bottom w:val="single" w:sz="4" w:space="0" w:color="auto"/>
              <w:right w:val="single" w:sz="4" w:space="0" w:color="auto"/>
            </w:tcBorders>
            <w:shd w:val="clear" w:color="auto" w:fill="auto"/>
            <w:noWrap/>
            <w:vAlign w:val="bottom"/>
            <w:hideMark/>
          </w:tcPr>
          <w:p w14:paraId="578573EF"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0.5</w:t>
            </w:r>
          </w:p>
        </w:tc>
        <w:tc>
          <w:tcPr>
            <w:tcW w:w="1640" w:type="dxa"/>
            <w:tcBorders>
              <w:top w:val="nil"/>
              <w:left w:val="nil"/>
              <w:bottom w:val="single" w:sz="4" w:space="0" w:color="auto"/>
              <w:right w:val="single" w:sz="8" w:space="0" w:color="auto"/>
            </w:tcBorders>
            <w:shd w:val="clear" w:color="auto" w:fill="auto"/>
            <w:noWrap/>
            <w:vAlign w:val="bottom"/>
            <w:hideMark/>
          </w:tcPr>
          <w:p w14:paraId="35BD8D2A"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0.002232</w:t>
            </w:r>
          </w:p>
        </w:tc>
      </w:tr>
      <w:tr w:rsidR="000626D5" w:rsidRPr="000626D5" w14:paraId="6306DD21" w14:textId="77777777" w:rsidTr="00C8794D">
        <w:trPr>
          <w:trHeight w:val="300"/>
          <w:jc w:val="center"/>
        </w:trPr>
        <w:tc>
          <w:tcPr>
            <w:tcW w:w="1340" w:type="dxa"/>
            <w:tcBorders>
              <w:top w:val="nil"/>
              <w:left w:val="single" w:sz="8" w:space="0" w:color="auto"/>
              <w:bottom w:val="single" w:sz="4" w:space="0" w:color="auto"/>
              <w:right w:val="single" w:sz="4" w:space="0" w:color="auto"/>
            </w:tcBorders>
            <w:shd w:val="clear" w:color="auto" w:fill="auto"/>
            <w:noWrap/>
            <w:vAlign w:val="bottom"/>
            <w:hideMark/>
          </w:tcPr>
          <w:p w14:paraId="1B451B3A"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-0.32%</w:t>
            </w:r>
          </w:p>
        </w:tc>
        <w:tc>
          <w:tcPr>
            <w:tcW w:w="1640" w:type="dxa"/>
            <w:tcBorders>
              <w:top w:val="nil"/>
              <w:left w:val="nil"/>
              <w:bottom w:val="single" w:sz="4" w:space="0" w:color="auto"/>
              <w:right w:val="single" w:sz="4" w:space="0" w:color="auto"/>
            </w:tcBorders>
            <w:shd w:val="clear" w:color="auto" w:fill="auto"/>
            <w:noWrap/>
            <w:vAlign w:val="bottom"/>
            <w:hideMark/>
          </w:tcPr>
          <w:p w14:paraId="45323E56"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0.3333</w:t>
            </w:r>
          </w:p>
        </w:tc>
        <w:tc>
          <w:tcPr>
            <w:tcW w:w="1900" w:type="dxa"/>
            <w:tcBorders>
              <w:top w:val="nil"/>
              <w:left w:val="nil"/>
              <w:bottom w:val="single" w:sz="4" w:space="0" w:color="auto"/>
              <w:right w:val="single" w:sz="4" w:space="0" w:color="auto"/>
            </w:tcBorders>
            <w:shd w:val="clear" w:color="auto" w:fill="auto"/>
            <w:noWrap/>
            <w:vAlign w:val="bottom"/>
            <w:hideMark/>
          </w:tcPr>
          <w:p w14:paraId="338E40E9"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0.02</w:t>
            </w:r>
          </w:p>
        </w:tc>
        <w:tc>
          <w:tcPr>
            <w:tcW w:w="1640" w:type="dxa"/>
            <w:tcBorders>
              <w:top w:val="nil"/>
              <w:left w:val="nil"/>
              <w:bottom w:val="single" w:sz="4" w:space="0" w:color="auto"/>
              <w:right w:val="single" w:sz="4" w:space="0" w:color="auto"/>
            </w:tcBorders>
            <w:shd w:val="clear" w:color="auto" w:fill="auto"/>
            <w:noWrap/>
            <w:vAlign w:val="bottom"/>
            <w:hideMark/>
          </w:tcPr>
          <w:p w14:paraId="735CF20C"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0.5</w:t>
            </w:r>
          </w:p>
        </w:tc>
        <w:tc>
          <w:tcPr>
            <w:tcW w:w="1640" w:type="dxa"/>
            <w:tcBorders>
              <w:top w:val="nil"/>
              <w:left w:val="nil"/>
              <w:bottom w:val="single" w:sz="4" w:space="0" w:color="auto"/>
              <w:right w:val="single" w:sz="8" w:space="0" w:color="auto"/>
            </w:tcBorders>
            <w:shd w:val="clear" w:color="auto" w:fill="auto"/>
            <w:noWrap/>
            <w:vAlign w:val="bottom"/>
            <w:hideMark/>
          </w:tcPr>
          <w:p w14:paraId="4FBEBA88"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0.003333</w:t>
            </w:r>
          </w:p>
        </w:tc>
      </w:tr>
      <w:tr w:rsidR="000626D5" w:rsidRPr="000626D5" w14:paraId="212D4404" w14:textId="77777777" w:rsidTr="00C8794D">
        <w:trPr>
          <w:trHeight w:val="300"/>
          <w:jc w:val="center"/>
        </w:trPr>
        <w:tc>
          <w:tcPr>
            <w:tcW w:w="1340" w:type="dxa"/>
            <w:tcBorders>
              <w:top w:val="nil"/>
              <w:left w:val="single" w:sz="8" w:space="0" w:color="auto"/>
              <w:bottom w:val="single" w:sz="4" w:space="0" w:color="auto"/>
              <w:right w:val="single" w:sz="4" w:space="0" w:color="auto"/>
            </w:tcBorders>
            <w:shd w:val="clear" w:color="auto" w:fill="auto"/>
            <w:noWrap/>
            <w:vAlign w:val="bottom"/>
            <w:hideMark/>
          </w:tcPr>
          <w:p w14:paraId="195E2025"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2.58%</w:t>
            </w:r>
          </w:p>
        </w:tc>
        <w:tc>
          <w:tcPr>
            <w:tcW w:w="1640" w:type="dxa"/>
            <w:tcBorders>
              <w:top w:val="nil"/>
              <w:left w:val="nil"/>
              <w:bottom w:val="single" w:sz="4" w:space="0" w:color="auto"/>
              <w:right w:val="single" w:sz="4" w:space="0" w:color="auto"/>
            </w:tcBorders>
            <w:shd w:val="clear" w:color="auto" w:fill="auto"/>
            <w:noWrap/>
            <w:vAlign w:val="bottom"/>
            <w:hideMark/>
          </w:tcPr>
          <w:p w14:paraId="4B03E729"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0.2222</w:t>
            </w:r>
          </w:p>
        </w:tc>
        <w:tc>
          <w:tcPr>
            <w:tcW w:w="1900" w:type="dxa"/>
            <w:tcBorders>
              <w:top w:val="nil"/>
              <w:left w:val="nil"/>
              <w:bottom w:val="single" w:sz="4" w:space="0" w:color="auto"/>
              <w:right w:val="single" w:sz="4" w:space="0" w:color="auto"/>
            </w:tcBorders>
            <w:shd w:val="clear" w:color="auto" w:fill="auto"/>
            <w:noWrap/>
            <w:vAlign w:val="bottom"/>
            <w:hideMark/>
          </w:tcPr>
          <w:p w14:paraId="6FC7E0D1"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0.02</w:t>
            </w:r>
          </w:p>
        </w:tc>
        <w:tc>
          <w:tcPr>
            <w:tcW w:w="1640" w:type="dxa"/>
            <w:tcBorders>
              <w:top w:val="nil"/>
              <w:left w:val="nil"/>
              <w:bottom w:val="single" w:sz="4" w:space="0" w:color="auto"/>
              <w:right w:val="single" w:sz="4" w:space="0" w:color="auto"/>
            </w:tcBorders>
            <w:shd w:val="clear" w:color="auto" w:fill="auto"/>
            <w:noWrap/>
            <w:vAlign w:val="bottom"/>
            <w:hideMark/>
          </w:tcPr>
          <w:p w14:paraId="6208925B"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0.5</w:t>
            </w:r>
          </w:p>
        </w:tc>
        <w:tc>
          <w:tcPr>
            <w:tcW w:w="1640" w:type="dxa"/>
            <w:tcBorders>
              <w:top w:val="nil"/>
              <w:left w:val="nil"/>
              <w:bottom w:val="single" w:sz="4" w:space="0" w:color="auto"/>
              <w:right w:val="single" w:sz="8" w:space="0" w:color="auto"/>
            </w:tcBorders>
            <w:shd w:val="clear" w:color="auto" w:fill="auto"/>
            <w:noWrap/>
            <w:vAlign w:val="bottom"/>
            <w:hideMark/>
          </w:tcPr>
          <w:p w14:paraId="7DE3A491"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0.002222</w:t>
            </w:r>
          </w:p>
        </w:tc>
      </w:tr>
      <w:tr w:rsidR="000626D5" w:rsidRPr="000626D5" w14:paraId="5A473BA2" w14:textId="77777777" w:rsidTr="00C8794D">
        <w:trPr>
          <w:trHeight w:val="315"/>
          <w:jc w:val="center"/>
        </w:trPr>
        <w:tc>
          <w:tcPr>
            <w:tcW w:w="1340" w:type="dxa"/>
            <w:tcBorders>
              <w:top w:val="nil"/>
              <w:left w:val="single" w:sz="8" w:space="0" w:color="auto"/>
              <w:bottom w:val="single" w:sz="8" w:space="0" w:color="auto"/>
              <w:right w:val="single" w:sz="4" w:space="0" w:color="auto"/>
            </w:tcBorders>
            <w:shd w:val="clear" w:color="auto" w:fill="auto"/>
            <w:noWrap/>
            <w:vAlign w:val="bottom"/>
            <w:hideMark/>
          </w:tcPr>
          <w:p w14:paraId="60971250"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5.16%</w:t>
            </w:r>
          </w:p>
        </w:tc>
        <w:tc>
          <w:tcPr>
            <w:tcW w:w="1640" w:type="dxa"/>
            <w:tcBorders>
              <w:top w:val="nil"/>
              <w:left w:val="nil"/>
              <w:bottom w:val="single" w:sz="8" w:space="0" w:color="auto"/>
              <w:right w:val="single" w:sz="4" w:space="0" w:color="auto"/>
            </w:tcBorders>
            <w:shd w:val="clear" w:color="auto" w:fill="auto"/>
            <w:noWrap/>
            <w:vAlign w:val="bottom"/>
            <w:hideMark/>
          </w:tcPr>
          <w:p w14:paraId="1EA65E22"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0.1101</w:t>
            </w:r>
          </w:p>
        </w:tc>
        <w:tc>
          <w:tcPr>
            <w:tcW w:w="1900" w:type="dxa"/>
            <w:tcBorders>
              <w:top w:val="nil"/>
              <w:left w:val="nil"/>
              <w:bottom w:val="single" w:sz="8" w:space="0" w:color="auto"/>
              <w:right w:val="single" w:sz="4" w:space="0" w:color="auto"/>
            </w:tcBorders>
            <w:shd w:val="clear" w:color="auto" w:fill="auto"/>
            <w:noWrap/>
            <w:vAlign w:val="bottom"/>
            <w:hideMark/>
          </w:tcPr>
          <w:p w14:paraId="6F75F45F"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0.02</w:t>
            </w:r>
          </w:p>
        </w:tc>
        <w:tc>
          <w:tcPr>
            <w:tcW w:w="1640" w:type="dxa"/>
            <w:tcBorders>
              <w:top w:val="nil"/>
              <w:left w:val="nil"/>
              <w:bottom w:val="single" w:sz="8" w:space="0" w:color="auto"/>
              <w:right w:val="single" w:sz="4" w:space="0" w:color="auto"/>
            </w:tcBorders>
            <w:shd w:val="clear" w:color="auto" w:fill="auto"/>
            <w:noWrap/>
            <w:vAlign w:val="bottom"/>
            <w:hideMark/>
          </w:tcPr>
          <w:p w14:paraId="1B2CDF4B"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0.5</w:t>
            </w:r>
          </w:p>
        </w:tc>
        <w:tc>
          <w:tcPr>
            <w:tcW w:w="1640" w:type="dxa"/>
            <w:tcBorders>
              <w:top w:val="nil"/>
              <w:left w:val="nil"/>
              <w:bottom w:val="single" w:sz="8" w:space="0" w:color="auto"/>
              <w:right w:val="single" w:sz="8" w:space="0" w:color="auto"/>
            </w:tcBorders>
            <w:shd w:val="clear" w:color="auto" w:fill="auto"/>
            <w:noWrap/>
            <w:vAlign w:val="bottom"/>
            <w:hideMark/>
          </w:tcPr>
          <w:p w14:paraId="237F009D" w14:textId="77777777" w:rsidR="000626D5" w:rsidRPr="000626D5" w:rsidRDefault="000626D5" w:rsidP="000626D5">
            <w:pPr>
              <w:spacing w:line="240" w:lineRule="auto"/>
              <w:jc w:val="center"/>
              <w:rPr>
                <w:rFonts w:ascii="Calibri" w:hAnsi="Calibri" w:cs="Calibri"/>
                <w:color w:val="000000"/>
                <w:sz w:val="22"/>
                <w:szCs w:val="22"/>
              </w:rPr>
            </w:pPr>
            <w:r w:rsidRPr="000626D5">
              <w:rPr>
                <w:rFonts w:ascii="Calibri" w:hAnsi="Calibri" w:cs="Calibri"/>
                <w:color w:val="000000"/>
                <w:sz w:val="22"/>
                <w:szCs w:val="22"/>
              </w:rPr>
              <w:t>0.001101</w:t>
            </w:r>
          </w:p>
        </w:tc>
      </w:tr>
    </w:tbl>
    <w:p w14:paraId="5E220AEB" w14:textId="5B09BC80" w:rsidR="00B3508A" w:rsidRDefault="00B3508A" w:rsidP="00217F0E">
      <w:pPr>
        <w:rPr>
          <w:szCs w:val="24"/>
        </w:rPr>
      </w:pPr>
    </w:p>
    <w:p w14:paraId="1F916041" w14:textId="77777777" w:rsidR="00B3508A" w:rsidRPr="00DB641B" w:rsidRDefault="00B3508A" w:rsidP="00217F0E">
      <w:pPr>
        <w:rPr>
          <w:szCs w:val="24"/>
        </w:rPr>
      </w:pPr>
    </w:p>
    <w:p w14:paraId="24C25339" w14:textId="77777777" w:rsidR="00697CE5" w:rsidRPr="00421157" w:rsidRDefault="004C2FA2" w:rsidP="00A76839">
      <w:pPr>
        <w:pStyle w:val="Heading2"/>
        <w:numPr>
          <w:ilvl w:val="1"/>
          <w:numId w:val="13"/>
        </w:numPr>
        <w:ind w:left="360"/>
      </w:pPr>
      <w:bookmarkStart w:id="293" w:name="_Toc440447831"/>
      <w:bookmarkStart w:id="294" w:name="_Toc440447898"/>
      <w:bookmarkStart w:id="295" w:name="_Toc440457948"/>
      <w:bookmarkStart w:id="296" w:name="_Toc440458362"/>
      <w:bookmarkStart w:id="297" w:name="_Toc440257881"/>
      <w:bookmarkStart w:id="298" w:name="_Toc440260763"/>
      <w:bookmarkStart w:id="299" w:name="_Toc440262227"/>
      <w:bookmarkStart w:id="300" w:name="_Toc440447832"/>
      <w:bookmarkStart w:id="301" w:name="_Toc440447899"/>
      <w:bookmarkStart w:id="302" w:name="_Toc440457949"/>
      <w:bookmarkStart w:id="303" w:name="_Toc440458363"/>
      <w:bookmarkStart w:id="304" w:name="_Toc222110699"/>
      <w:bookmarkStart w:id="305" w:name="_Toc440262228"/>
      <w:bookmarkStart w:id="306" w:name="_Toc440447900"/>
      <w:bookmarkStart w:id="307" w:name="_Toc440457950"/>
      <w:bookmarkStart w:id="308" w:name="_Toc513710351"/>
      <w:bookmarkStart w:id="309" w:name="_Toc187234613"/>
      <w:bookmarkEnd w:id="293"/>
      <w:bookmarkEnd w:id="294"/>
      <w:bookmarkEnd w:id="295"/>
      <w:bookmarkEnd w:id="296"/>
      <w:bookmarkEnd w:id="297"/>
      <w:bookmarkEnd w:id="298"/>
      <w:bookmarkEnd w:id="299"/>
      <w:bookmarkEnd w:id="300"/>
      <w:bookmarkEnd w:id="301"/>
      <w:bookmarkEnd w:id="302"/>
      <w:bookmarkEnd w:id="303"/>
      <w:r w:rsidRPr="00DB641B">
        <w:t>Reliability Model Simulations</w:t>
      </w:r>
      <w:bookmarkEnd w:id="304"/>
      <w:bookmarkEnd w:id="305"/>
      <w:bookmarkEnd w:id="306"/>
      <w:bookmarkEnd w:id="307"/>
      <w:bookmarkEnd w:id="308"/>
      <w:bookmarkEnd w:id="309"/>
    </w:p>
    <w:p w14:paraId="4DFF725F" w14:textId="45B0FB4D" w:rsidR="00B8717D" w:rsidRPr="00372AC4" w:rsidRDefault="00C17D1C" w:rsidP="00DB641B">
      <w:r>
        <w:t>SERVM</w:t>
      </w:r>
      <w:r w:rsidR="004C2FA2">
        <w:t xml:space="preserve"> incorporates Monte Carlo techniques</w:t>
      </w:r>
      <w:r w:rsidR="00725F6C">
        <w:t xml:space="preserve"> to conduct generation reliability simulations</w:t>
      </w:r>
      <w:r w:rsidR="004C2FA2">
        <w:t>. Monte Carlo analysis uses a random number generator to determine genera</w:t>
      </w:r>
      <w:r w:rsidR="00B001D8">
        <w:t xml:space="preserve">ting unit availability for the </w:t>
      </w:r>
      <w:r w:rsidR="49FB00CE">
        <w:t>s</w:t>
      </w:r>
      <w:r w:rsidR="004C2FA2">
        <w:t>ystem. For each iteration, the model simulations will randomly select the state of a generating unit as fully operational, partially failed, or completely failed and determine if the system experiences loss of load and associated EUE.</w:t>
      </w:r>
    </w:p>
    <w:p w14:paraId="5BD376FC" w14:textId="77777777" w:rsidR="002D09D8" w:rsidRPr="00C627E2" w:rsidRDefault="002D09D8" w:rsidP="00217F0E">
      <w:pPr>
        <w:rPr>
          <w:szCs w:val="24"/>
        </w:rPr>
      </w:pPr>
    </w:p>
    <w:p w14:paraId="5A887E88" w14:textId="33F7ADF5" w:rsidR="00F11876" w:rsidRDefault="00D4207A" w:rsidP="00217F0E">
      <w:pPr>
        <w:rPr>
          <w:szCs w:val="24"/>
        </w:rPr>
      </w:pPr>
      <w:r>
        <w:rPr>
          <w:szCs w:val="24"/>
        </w:rPr>
        <w:t xml:space="preserve">For each of the </w:t>
      </w:r>
      <w:r w:rsidR="00CD0D93">
        <w:rPr>
          <w:szCs w:val="24"/>
        </w:rPr>
        <w:t>5</w:t>
      </w:r>
      <w:r w:rsidR="000626D5">
        <w:rPr>
          <w:szCs w:val="24"/>
        </w:rPr>
        <w:t>0</w:t>
      </w:r>
      <w:r w:rsidR="00CD0D93">
        <w:rPr>
          <w:szCs w:val="24"/>
        </w:rPr>
        <w:t>0</w:t>
      </w:r>
      <w:r>
        <w:rPr>
          <w:szCs w:val="24"/>
        </w:rPr>
        <w:t xml:space="preserve"> cases, e</w:t>
      </w:r>
      <w:r w:rsidRPr="00B138F0">
        <w:rPr>
          <w:szCs w:val="24"/>
        </w:rPr>
        <w:t xml:space="preserve">ach </w:t>
      </w:r>
      <w:r w:rsidR="00CD43FB" w:rsidRPr="00B138F0">
        <w:rPr>
          <w:szCs w:val="24"/>
        </w:rPr>
        <w:t>hour of the year was modeled with</w:t>
      </w:r>
      <w:r w:rsidR="00831DFD" w:rsidRPr="00372AC4">
        <w:rPr>
          <w:szCs w:val="24"/>
        </w:rPr>
        <w:t xml:space="preserve"> </w:t>
      </w:r>
      <w:r w:rsidR="008801EC">
        <w:rPr>
          <w:szCs w:val="24"/>
        </w:rPr>
        <w:t>100</w:t>
      </w:r>
      <w:r w:rsidR="00DE17B6" w:rsidRPr="00372AC4">
        <w:rPr>
          <w:szCs w:val="24"/>
        </w:rPr>
        <w:t xml:space="preserve"> </w:t>
      </w:r>
      <w:r w:rsidR="00CD43FB" w:rsidRPr="00372AC4">
        <w:rPr>
          <w:szCs w:val="24"/>
        </w:rPr>
        <w:t xml:space="preserve">draws from the distribution of generating unit outage and duration data to determine if there exists a deficiency of generating capacity to meet load demand. </w:t>
      </w:r>
      <w:r>
        <w:rPr>
          <w:szCs w:val="24"/>
        </w:rPr>
        <w:t xml:space="preserve">The 100 iterations were averaged together to establish a case-specific result. </w:t>
      </w:r>
      <w:r w:rsidR="00CD43FB" w:rsidRPr="00372AC4">
        <w:rPr>
          <w:szCs w:val="24"/>
        </w:rPr>
        <w:t xml:space="preserve">A deficiency of generating capacity </w:t>
      </w:r>
      <w:r w:rsidR="00F71DBA">
        <w:rPr>
          <w:szCs w:val="24"/>
        </w:rPr>
        <w:t xml:space="preserve">in any </w:t>
      </w:r>
      <w:r w:rsidR="00CD43FB" w:rsidRPr="00372AC4">
        <w:rPr>
          <w:szCs w:val="24"/>
        </w:rPr>
        <w:t xml:space="preserve">hour is recorded as a loss of load hour. The magnitude of the outage during that hour is measured by EUE. </w:t>
      </w:r>
      <w:r w:rsidR="00DB48ED">
        <w:rPr>
          <w:szCs w:val="24"/>
        </w:rPr>
        <w:t>The EUE is then aggregated by month and multiplied by the respective value of lost load for that month to determine the EUE cost.</w:t>
      </w:r>
      <w:r w:rsidR="007256B5">
        <w:rPr>
          <w:szCs w:val="24"/>
        </w:rPr>
        <w:t xml:space="preserve"> The monthly EUE costs are then summed together for the year to </w:t>
      </w:r>
      <w:r w:rsidR="00F11876">
        <w:rPr>
          <w:szCs w:val="24"/>
        </w:rPr>
        <w:t>determine</w:t>
      </w:r>
      <w:r w:rsidR="00D1459D">
        <w:rPr>
          <w:szCs w:val="24"/>
        </w:rPr>
        <w:t xml:space="preserve"> EUE cost for that case. The case EUE cost is then multiplied by the probability of occurrence for that case and the result</w:t>
      </w:r>
      <w:r w:rsidR="00F8700E">
        <w:rPr>
          <w:szCs w:val="24"/>
        </w:rPr>
        <w:t>s</w:t>
      </w:r>
      <w:r w:rsidR="00D1459D">
        <w:rPr>
          <w:szCs w:val="24"/>
        </w:rPr>
        <w:t xml:space="preserve"> for all cases </w:t>
      </w:r>
      <w:r w:rsidR="00F8700E">
        <w:rPr>
          <w:szCs w:val="24"/>
        </w:rPr>
        <w:t xml:space="preserve">are </w:t>
      </w:r>
      <w:r w:rsidR="00D1459D">
        <w:rPr>
          <w:szCs w:val="24"/>
        </w:rPr>
        <w:t>summed</w:t>
      </w:r>
      <w:r w:rsidR="00F11876">
        <w:rPr>
          <w:szCs w:val="24"/>
        </w:rPr>
        <w:t xml:space="preserve"> to determine the expected value of EUE cost for that reserve margin simulation. </w:t>
      </w:r>
      <w:r w:rsidR="00BD567A">
        <w:rPr>
          <w:szCs w:val="24"/>
        </w:rPr>
        <w:t xml:space="preserve">This </w:t>
      </w:r>
      <w:r w:rsidR="00F11876">
        <w:rPr>
          <w:szCs w:val="24"/>
        </w:rPr>
        <w:t>process</w:t>
      </w:r>
      <w:r w:rsidR="00B6407C">
        <w:rPr>
          <w:szCs w:val="24"/>
        </w:rPr>
        <w:t xml:space="preserve"> </w:t>
      </w:r>
      <w:r w:rsidR="00BD567A">
        <w:rPr>
          <w:szCs w:val="24"/>
        </w:rPr>
        <w:t xml:space="preserve">is repeated to </w:t>
      </w:r>
      <w:r w:rsidR="00F11876">
        <w:rPr>
          <w:szCs w:val="24"/>
        </w:rPr>
        <w:t xml:space="preserve">determine the expected value of </w:t>
      </w:r>
      <w:r w:rsidR="006F0B68">
        <w:rPr>
          <w:szCs w:val="24"/>
        </w:rPr>
        <w:t>generation</w:t>
      </w:r>
      <w:r w:rsidR="00937377">
        <w:rPr>
          <w:szCs w:val="24"/>
        </w:rPr>
        <w:t xml:space="preserve"> costs, import costs, </w:t>
      </w:r>
      <w:r w:rsidR="00B6407C">
        <w:rPr>
          <w:szCs w:val="24"/>
        </w:rPr>
        <w:t>emergency purchase costs</w:t>
      </w:r>
      <w:r w:rsidR="00F11876">
        <w:rPr>
          <w:szCs w:val="24"/>
        </w:rPr>
        <w:t>,</w:t>
      </w:r>
      <w:r w:rsidR="00937377">
        <w:rPr>
          <w:szCs w:val="24"/>
        </w:rPr>
        <w:t xml:space="preserve"> the cost of non-firm outages (</w:t>
      </w:r>
      <w:r w:rsidR="00937377" w:rsidRPr="00CF31ED">
        <w:rPr>
          <w:i/>
          <w:iCs/>
          <w:szCs w:val="24"/>
        </w:rPr>
        <w:t>i.e.</w:t>
      </w:r>
      <w:r w:rsidR="00937377">
        <w:rPr>
          <w:szCs w:val="24"/>
        </w:rPr>
        <w:t>,</w:t>
      </w:r>
      <w:r w:rsidR="00B6407C">
        <w:rPr>
          <w:szCs w:val="24"/>
        </w:rPr>
        <w:t xml:space="preserve"> demand response costs</w:t>
      </w:r>
      <w:r w:rsidR="00937377">
        <w:rPr>
          <w:szCs w:val="24"/>
        </w:rPr>
        <w:t>)</w:t>
      </w:r>
      <w:r w:rsidR="00B6407C">
        <w:rPr>
          <w:szCs w:val="24"/>
        </w:rPr>
        <w:t>, and costs associated with non-spinning reserve shortfalls</w:t>
      </w:r>
      <w:r w:rsidR="00F8700E">
        <w:rPr>
          <w:szCs w:val="24"/>
        </w:rPr>
        <w:t>.</w:t>
      </w:r>
      <w:r w:rsidR="00B6407C">
        <w:rPr>
          <w:szCs w:val="24"/>
        </w:rPr>
        <w:t xml:space="preserve"> </w:t>
      </w:r>
    </w:p>
    <w:p w14:paraId="416B1135" w14:textId="77777777" w:rsidR="00F11876" w:rsidRDefault="00F11876" w:rsidP="00217F0E">
      <w:pPr>
        <w:rPr>
          <w:szCs w:val="24"/>
        </w:rPr>
      </w:pPr>
    </w:p>
    <w:p w14:paraId="437FE403" w14:textId="09509FF3" w:rsidR="00F72D76" w:rsidRDefault="00F11876" w:rsidP="00217F0E">
      <w:pPr>
        <w:rPr>
          <w:szCs w:val="24"/>
        </w:rPr>
      </w:pPr>
      <w:r>
        <w:rPr>
          <w:szCs w:val="24"/>
        </w:rPr>
        <w:t>For each reserve margin</w:t>
      </w:r>
      <w:r w:rsidR="00BD03FA">
        <w:rPr>
          <w:szCs w:val="24"/>
        </w:rPr>
        <w:t xml:space="preserve"> simulation</w:t>
      </w:r>
      <w:r>
        <w:rPr>
          <w:szCs w:val="24"/>
        </w:rPr>
        <w:t>, the expected value of g</w:t>
      </w:r>
      <w:r w:rsidR="006F0B68">
        <w:rPr>
          <w:szCs w:val="24"/>
        </w:rPr>
        <w:t>eneration</w:t>
      </w:r>
      <w:r w:rsidR="00B6407C">
        <w:rPr>
          <w:szCs w:val="24"/>
        </w:rPr>
        <w:t xml:space="preserve"> costs and import costs are </w:t>
      </w:r>
      <w:r>
        <w:rPr>
          <w:szCs w:val="24"/>
        </w:rPr>
        <w:t xml:space="preserve">then </w:t>
      </w:r>
      <w:r w:rsidR="00B6407C">
        <w:rPr>
          <w:szCs w:val="24"/>
        </w:rPr>
        <w:t xml:space="preserve">summed together to establish </w:t>
      </w:r>
      <w:r w:rsidR="008E2FDE">
        <w:rPr>
          <w:szCs w:val="24"/>
        </w:rPr>
        <w:t>“</w:t>
      </w:r>
      <w:r w:rsidR="00B6407C">
        <w:rPr>
          <w:szCs w:val="24"/>
        </w:rPr>
        <w:t>Production Cost</w:t>
      </w:r>
      <w:r w:rsidR="008E2FDE">
        <w:rPr>
          <w:szCs w:val="24"/>
        </w:rPr>
        <w:t>”</w:t>
      </w:r>
      <w:r w:rsidR="00B6407C">
        <w:rPr>
          <w:szCs w:val="24"/>
        </w:rPr>
        <w:t xml:space="preserve">. </w:t>
      </w:r>
      <w:r>
        <w:rPr>
          <w:szCs w:val="24"/>
        </w:rPr>
        <w:t>Likewise, the expected value of e</w:t>
      </w:r>
      <w:r w:rsidR="00B6407C">
        <w:rPr>
          <w:szCs w:val="24"/>
        </w:rPr>
        <w:t xml:space="preserve">mergency purchases (or sales), demand response costs, costs associated with non-spinning reserve shortfalls, and EUE costs are summed to establish </w:t>
      </w:r>
      <w:r w:rsidR="008E2FDE">
        <w:rPr>
          <w:szCs w:val="24"/>
        </w:rPr>
        <w:t>“</w:t>
      </w:r>
      <w:r w:rsidR="00B6407C">
        <w:rPr>
          <w:szCs w:val="24"/>
        </w:rPr>
        <w:t>Reliability Cost.</w:t>
      </w:r>
      <w:r w:rsidR="008E2FDE">
        <w:rPr>
          <w:szCs w:val="24"/>
        </w:rPr>
        <w:t>”</w:t>
      </w:r>
      <w:r w:rsidR="00B6407C">
        <w:rPr>
          <w:szCs w:val="24"/>
        </w:rPr>
        <w:t xml:space="preserve"> </w:t>
      </w:r>
      <w:r w:rsidR="00360F18">
        <w:rPr>
          <w:szCs w:val="24"/>
        </w:rPr>
        <w:t>Figure II.1</w:t>
      </w:r>
      <w:r w:rsidR="00F621A0">
        <w:rPr>
          <w:szCs w:val="24"/>
        </w:rPr>
        <w:t xml:space="preserve"> below</w:t>
      </w:r>
      <w:r w:rsidR="00360F18">
        <w:rPr>
          <w:szCs w:val="24"/>
        </w:rPr>
        <w:t xml:space="preserve"> </w:t>
      </w:r>
      <w:r w:rsidR="00EB1A40" w:rsidRPr="00B138F0">
        <w:rPr>
          <w:szCs w:val="24"/>
        </w:rPr>
        <w:t xml:space="preserve">shows the </w:t>
      </w:r>
      <w:r w:rsidR="000B1EEA">
        <w:rPr>
          <w:szCs w:val="24"/>
        </w:rPr>
        <w:t xml:space="preserve">formula used for calculating EUE. Other components are calculated similarly. </w:t>
      </w:r>
    </w:p>
    <w:p w14:paraId="1C5B250D" w14:textId="77777777" w:rsidR="00F72D76" w:rsidRDefault="00F72D76" w:rsidP="00217F0E">
      <w:pPr>
        <w:rPr>
          <w:szCs w:val="24"/>
        </w:rPr>
      </w:pPr>
    </w:p>
    <w:p w14:paraId="6FA93504" w14:textId="77777777" w:rsidR="00F72D76" w:rsidRPr="00941BBB" w:rsidRDefault="00F72D76" w:rsidP="00641D9C">
      <w:pPr>
        <w:keepNext/>
        <w:rPr>
          <w:rFonts w:asciiTheme="majorHAnsi" w:hAnsiTheme="majorHAnsi" w:cstheme="majorHAnsi"/>
          <w:b/>
          <w:szCs w:val="24"/>
        </w:rPr>
      </w:pPr>
      <m:oMathPara>
        <m:oMathParaPr>
          <m:jc m:val="center"/>
        </m:oMathParaPr>
        <m:oMath>
          <m:r>
            <m:rPr>
              <m:sty m:val="bi"/>
            </m:rPr>
            <w:rPr>
              <w:rFonts w:ascii="Cambria Math" w:hAnsi="Cambria Math" w:cstheme="majorHAnsi"/>
              <w:szCs w:val="24"/>
            </w:rPr>
            <m:t xml:space="preserve">Expected Y= </m:t>
          </m:r>
          <m:nary>
            <m:naryPr>
              <m:chr m:val="∑"/>
              <m:limLoc m:val="undOvr"/>
              <m:ctrlPr>
                <w:rPr>
                  <w:rFonts w:ascii="Cambria Math" w:hAnsi="Cambria Math" w:cstheme="majorHAnsi"/>
                  <w:b/>
                  <w:i/>
                  <w:szCs w:val="24"/>
                </w:rPr>
              </m:ctrlPr>
            </m:naryPr>
            <m:sub>
              <m:r>
                <m:rPr>
                  <m:sty m:val="bi"/>
                </m:rPr>
                <w:rPr>
                  <w:rFonts w:ascii="Cambria Math" w:hAnsi="Cambria Math" w:cstheme="majorHAnsi"/>
                  <w:szCs w:val="24"/>
                </w:rPr>
                <m:t>i=1</m:t>
              </m:r>
            </m:sub>
            <m:sup>
              <m:r>
                <m:rPr>
                  <m:sty m:val="bi"/>
                </m:rPr>
                <w:rPr>
                  <w:rFonts w:ascii="Cambria Math" w:hAnsi="Cambria Math" w:cstheme="majorHAnsi"/>
                  <w:szCs w:val="24"/>
                </w:rPr>
                <m:t>n</m:t>
              </m:r>
            </m:sup>
            <m:e>
              <m:r>
                <m:rPr>
                  <m:sty m:val="bi"/>
                </m:rPr>
                <w:rPr>
                  <w:rFonts w:ascii="Cambria Math" w:hAnsi="Cambria Math" w:cstheme="majorHAnsi"/>
                  <w:szCs w:val="24"/>
                </w:rPr>
                <m:t>(</m:t>
              </m:r>
              <m:sSub>
                <m:sSubPr>
                  <m:ctrlPr>
                    <w:rPr>
                      <w:rFonts w:ascii="Cambria Math" w:hAnsi="Cambria Math" w:cstheme="majorHAnsi"/>
                      <w:b/>
                      <w:i/>
                      <w:szCs w:val="24"/>
                    </w:rPr>
                  </m:ctrlPr>
                </m:sSubPr>
                <m:e>
                  <m:r>
                    <m:rPr>
                      <m:sty m:val="bi"/>
                    </m:rPr>
                    <w:rPr>
                      <w:rFonts w:ascii="Cambria Math" w:hAnsi="Cambria Math" w:cstheme="majorHAnsi"/>
                      <w:szCs w:val="24"/>
                    </w:rPr>
                    <m:t>Y</m:t>
                  </m:r>
                </m:e>
                <m:sub>
                  <m:r>
                    <m:rPr>
                      <m:sty m:val="bi"/>
                    </m:rPr>
                    <w:rPr>
                      <w:rFonts w:ascii="Cambria Math" w:hAnsi="Cambria Math" w:cstheme="majorHAnsi"/>
                      <w:szCs w:val="24"/>
                    </w:rPr>
                    <m:t>i</m:t>
                  </m:r>
                </m:sub>
              </m:sSub>
              <m:r>
                <m:rPr>
                  <m:sty m:val="bi"/>
                </m:rPr>
                <w:rPr>
                  <w:rFonts w:ascii="Cambria Math" w:hAnsi="Cambria Math" w:cstheme="majorHAnsi"/>
                  <w:szCs w:val="24"/>
                </w:rPr>
                <m:t xml:space="preserve">* </m:t>
              </m:r>
              <m:sSub>
                <m:sSubPr>
                  <m:ctrlPr>
                    <w:rPr>
                      <w:rFonts w:ascii="Cambria Math" w:hAnsi="Cambria Math" w:cstheme="majorHAnsi"/>
                      <w:b/>
                      <w:i/>
                      <w:szCs w:val="24"/>
                    </w:rPr>
                  </m:ctrlPr>
                </m:sSubPr>
                <m:e>
                  <m:r>
                    <m:rPr>
                      <m:sty m:val="bi"/>
                    </m:rPr>
                    <w:rPr>
                      <w:rFonts w:ascii="Cambria Math" w:hAnsi="Cambria Math" w:cstheme="majorHAnsi"/>
                      <w:szCs w:val="24"/>
                    </w:rPr>
                    <m:t>Probability</m:t>
                  </m:r>
                </m:e>
                <m:sub>
                  <m:r>
                    <m:rPr>
                      <m:sty m:val="bi"/>
                    </m:rPr>
                    <w:rPr>
                      <w:rFonts w:ascii="Cambria Math" w:hAnsi="Cambria Math" w:cstheme="majorHAnsi"/>
                      <w:szCs w:val="24"/>
                    </w:rPr>
                    <m:t>i</m:t>
                  </m:r>
                </m:sub>
              </m:sSub>
            </m:e>
          </m:nary>
          <m:r>
            <m:rPr>
              <m:sty m:val="bi"/>
            </m:rPr>
            <w:rPr>
              <w:rFonts w:ascii="Cambria Math" w:hAnsi="Cambria Math" w:cstheme="majorHAnsi"/>
              <w:szCs w:val="24"/>
            </w:rPr>
            <m:t>)</m:t>
          </m:r>
        </m:oMath>
      </m:oMathPara>
    </w:p>
    <w:p w14:paraId="4963DDBA" w14:textId="77777777" w:rsidR="00F72D76" w:rsidRPr="00941BBB" w:rsidRDefault="00F72D76" w:rsidP="00641D9C">
      <w:pPr>
        <w:keepNext/>
        <w:ind w:left="2520"/>
        <w:rPr>
          <w:rFonts w:asciiTheme="majorHAnsi" w:hAnsiTheme="majorHAnsi" w:cstheme="majorHAnsi"/>
          <w:b/>
          <w:szCs w:val="24"/>
        </w:rPr>
      </w:pPr>
      <w:r w:rsidRPr="00941BBB">
        <w:rPr>
          <w:rFonts w:asciiTheme="majorHAnsi" w:hAnsiTheme="majorHAnsi" w:cstheme="majorHAnsi"/>
          <w:b/>
          <w:szCs w:val="24"/>
        </w:rPr>
        <w:t>where</w:t>
      </w:r>
    </w:p>
    <w:p w14:paraId="173E0B67" w14:textId="77777777" w:rsidR="00F72D76" w:rsidRPr="00941BBB" w:rsidRDefault="00F72D76" w:rsidP="00641D9C">
      <w:pPr>
        <w:keepNext/>
        <w:ind w:left="2970"/>
        <w:rPr>
          <w:rFonts w:asciiTheme="majorHAnsi" w:hAnsiTheme="majorHAnsi" w:cstheme="majorHAnsi"/>
          <w:b/>
          <w:szCs w:val="24"/>
        </w:rPr>
      </w:pPr>
      <m:oMathPara>
        <m:oMathParaPr>
          <m:jc m:val="left"/>
        </m:oMathParaPr>
        <m:oMath>
          <m:r>
            <m:rPr>
              <m:sty m:val="bi"/>
            </m:rPr>
            <w:rPr>
              <w:rFonts w:ascii="Cambria Math" w:hAnsi="Cambria Math" w:cstheme="majorHAnsi"/>
              <w:szCs w:val="24"/>
            </w:rPr>
            <m:t>Y=EUE and,</m:t>
          </m:r>
        </m:oMath>
      </m:oMathPara>
    </w:p>
    <w:p w14:paraId="4248384C" w14:textId="77777777" w:rsidR="00F72D76" w:rsidRPr="00941BBB" w:rsidRDefault="00F72D76" w:rsidP="00641D9C">
      <w:pPr>
        <w:keepNext/>
        <w:ind w:left="2970"/>
        <w:rPr>
          <w:b/>
        </w:rPr>
      </w:pPr>
      <m:oMathPara>
        <m:oMathParaPr>
          <m:jc m:val="left"/>
        </m:oMathParaPr>
        <m:oMath>
          <m:r>
            <m:rPr>
              <m:sty m:val="bi"/>
            </m:rPr>
            <w:rPr>
              <w:rFonts w:ascii="Cambria Math" w:hAnsi="Cambria Math" w:cstheme="majorHAnsi"/>
              <w:szCs w:val="24"/>
            </w:rPr>
            <m:t>n=number of cases</m:t>
          </m:r>
          <m:r>
            <m:rPr>
              <m:sty m:val="bi"/>
            </m:rPr>
            <w:rPr>
              <w:rFonts w:ascii="Cambria Math" w:hAnsi="Cambria Math"/>
              <w:szCs w:val="24"/>
            </w:rPr>
            <m:t xml:space="preserve"> </m:t>
          </m:r>
        </m:oMath>
      </m:oMathPara>
    </w:p>
    <w:p w14:paraId="67A49931" w14:textId="61B4AC46" w:rsidR="00F72D76" w:rsidRDefault="00F72D76" w:rsidP="00F72D76">
      <w:pPr>
        <w:pStyle w:val="Caption"/>
      </w:pPr>
      <w:bookmarkStart w:id="310" w:name="_Toc187234677"/>
      <w:r>
        <w:t xml:space="preserve">Figure </w:t>
      </w:r>
      <w:r w:rsidR="00F262E6">
        <w:fldChar w:fldCharType="begin"/>
      </w:r>
      <w:r w:rsidR="00F262E6">
        <w:instrText xml:space="preserve"> STYLEREF 1 \s </w:instrText>
      </w:r>
      <w:r w:rsidR="00F262E6">
        <w:fldChar w:fldCharType="separate"/>
      </w:r>
      <w:r w:rsidR="00F262E6">
        <w:rPr>
          <w:noProof/>
        </w:rPr>
        <w:t>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w:t>
      </w:r>
      <w:r w:rsidR="00F262E6">
        <w:fldChar w:fldCharType="end"/>
      </w:r>
      <w:r>
        <w:t xml:space="preserve"> </w:t>
      </w:r>
      <w:r w:rsidRPr="00D84A4B">
        <w:t>Variable Calculation Formula</w:t>
      </w:r>
      <w:bookmarkEnd w:id="310"/>
    </w:p>
    <w:p w14:paraId="12AA360D" w14:textId="77777777" w:rsidR="000626D5" w:rsidRPr="000626D5" w:rsidRDefault="000626D5" w:rsidP="000626D5"/>
    <w:p w14:paraId="1EB9F565" w14:textId="633FA789" w:rsidR="00CD43FB" w:rsidRDefault="007009BB" w:rsidP="00217F0E">
      <w:pPr>
        <w:rPr>
          <w:szCs w:val="24"/>
        </w:rPr>
      </w:pPr>
      <w:r>
        <w:rPr>
          <w:szCs w:val="24"/>
        </w:rPr>
        <w:fldChar w:fldCharType="begin"/>
      </w:r>
      <w:r>
        <w:rPr>
          <w:szCs w:val="24"/>
        </w:rPr>
        <w:instrText xml:space="preserve"> REF _Ref513786005 \h </w:instrText>
      </w:r>
      <w:r>
        <w:rPr>
          <w:szCs w:val="24"/>
        </w:rPr>
      </w:r>
      <w:r>
        <w:rPr>
          <w:szCs w:val="24"/>
        </w:rPr>
        <w:fldChar w:fldCharType="separate"/>
      </w:r>
      <w:r w:rsidR="00441928" w:rsidRPr="00943E4B">
        <w:t xml:space="preserve">Table </w:t>
      </w:r>
      <w:r w:rsidR="00441928">
        <w:rPr>
          <w:noProof/>
        </w:rPr>
        <w:t>II</w:t>
      </w:r>
      <w:r w:rsidR="00441928" w:rsidRPr="00943E4B">
        <w:noBreakHyphen/>
      </w:r>
      <w:r w:rsidR="00441928">
        <w:rPr>
          <w:noProof/>
        </w:rPr>
        <w:t>4</w:t>
      </w:r>
      <w:r>
        <w:rPr>
          <w:szCs w:val="24"/>
        </w:rPr>
        <w:fldChar w:fldCharType="end"/>
      </w:r>
      <w:r w:rsidR="000B1EEA">
        <w:rPr>
          <w:szCs w:val="24"/>
        </w:rPr>
        <w:t xml:space="preserve"> thru </w:t>
      </w:r>
      <w:r>
        <w:rPr>
          <w:szCs w:val="24"/>
        </w:rPr>
        <w:fldChar w:fldCharType="begin"/>
      </w:r>
      <w:r>
        <w:rPr>
          <w:szCs w:val="24"/>
        </w:rPr>
        <w:instrText xml:space="preserve"> REF _Ref513786037 \h </w:instrText>
      </w:r>
      <w:r>
        <w:rPr>
          <w:szCs w:val="24"/>
        </w:rPr>
      </w:r>
      <w:r>
        <w:rPr>
          <w:szCs w:val="24"/>
        </w:rPr>
        <w:fldChar w:fldCharType="separate"/>
      </w:r>
      <w:r w:rsidR="00686745" w:rsidRPr="00943E4B">
        <w:t xml:space="preserve">Table </w:t>
      </w:r>
      <w:r w:rsidR="00686745">
        <w:rPr>
          <w:noProof/>
        </w:rPr>
        <w:t>II</w:t>
      </w:r>
      <w:r w:rsidR="00686745" w:rsidRPr="00943E4B">
        <w:noBreakHyphen/>
      </w:r>
      <w:r w:rsidR="00686745">
        <w:rPr>
          <w:noProof/>
        </w:rPr>
        <w:t>7</w:t>
      </w:r>
      <w:r>
        <w:rPr>
          <w:szCs w:val="24"/>
        </w:rPr>
        <w:fldChar w:fldCharType="end"/>
      </w:r>
      <w:r w:rsidR="00F621A0">
        <w:rPr>
          <w:szCs w:val="24"/>
        </w:rPr>
        <w:t xml:space="preserve"> below</w:t>
      </w:r>
      <w:r w:rsidR="000B1EEA">
        <w:rPr>
          <w:szCs w:val="24"/>
        </w:rPr>
        <w:t xml:space="preserve"> provide</w:t>
      </w:r>
      <w:r w:rsidR="00BB3FBD" w:rsidRPr="00372AC4">
        <w:rPr>
          <w:szCs w:val="24"/>
        </w:rPr>
        <w:t xml:space="preserve"> a</w:t>
      </w:r>
      <w:r w:rsidR="002B148D" w:rsidRPr="00372AC4">
        <w:rPr>
          <w:szCs w:val="24"/>
        </w:rPr>
        <w:t>n</w:t>
      </w:r>
      <w:r w:rsidR="00BB3FBD" w:rsidRPr="00372AC4">
        <w:rPr>
          <w:szCs w:val="24"/>
        </w:rPr>
        <w:t xml:space="preserve"> example of implementing the formula for a </w:t>
      </w:r>
      <w:r w:rsidR="000B1EEA">
        <w:rPr>
          <w:szCs w:val="24"/>
        </w:rPr>
        <w:t>sample data set containing the 10 worst Reliability Cost cases</w:t>
      </w:r>
      <w:r w:rsidR="00EB1A40" w:rsidRPr="00C7027D">
        <w:rPr>
          <w:szCs w:val="24"/>
        </w:rPr>
        <w:t xml:space="preserve">. </w:t>
      </w:r>
      <w:r>
        <w:rPr>
          <w:szCs w:val="24"/>
        </w:rPr>
        <w:fldChar w:fldCharType="begin"/>
      </w:r>
      <w:r>
        <w:rPr>
          <w:szCs w:val="24"/>
        </w:rPr>
        <w:instrText xml:space="preserve"> REF _Ref513786005 \h </w:instrText>
      </w:r>
      <w:r>
        <w:rPr>
          <w:szCs w:val="24"/>
        </w:rPr>
      </w:r>
      <w:r>
        <w:rPr>
          <w:szCs w:val="24"/>
        </w:rPr>
        <w:fldChar w:fldCharType="separate"/>
      </w:r>
      <w:r w:rsidR="00441928" w:rsidRPr="00943E4B">
        <w:t xml:space="preserve">Table </w:t>
      </w:r>
      <w:r w:rsidR="00441928">
        <w:rPr>
          <w:noProof/>
        </w:rPr>
        <w:t>II</w:t>
      </w:r>
      <w:r w:rsidR="00441928" w:rsidRPr="00943E4B">
        <w:noBreakHyphen/>
      </w:r>
      <w:r w:rsidR="00441928">
        <w:rPr>
          <w:noProof/>
        </w:rPr>
        <w:t>4</w:t>
      </w:r>
      <w:r>
        <w:rPr>
          <w:szCs w:val="24"/>
        </w:rPr>
        <w:fldChar w:fldCharType="end"/>
      </w:r>
      <w:r w:rsidR="00BB3FBD" w:rsidRPr="00C7027D">
        <w:rPr>
          <w:szCs w:val="24"/>
        </w:rPr>
        <w:t xml:space="preserve"> </w:t>
      </w:r>
      <w:r w:rsidR="000B1EEA">
        <w:rPr>
          <w:szCs w:val="24"/>
        </w:rPr>
        <w:t xml:space="preserve">shows the Reliability Cost components with their per </w:t>
      </w:r>
      <w:r w:rsidR="003955AF">
        <w:rPr>
          <w:szCs w:val="24"/>
        </w:rPr>
        <w:t>case</w:t>
      </w:r>
      <w:r w:rsidR="000B1EEA">
        <w:rPr>
          <w:szCs w:val="24"/>
        </w:rPr>
        <w:t xml:space="preserve"> weighted costs. </w:t>
      </w:r>
      <w:r>
        <w:rPr>
          <w:szCs w:val="24"/>
        </w:rPr>
        <w:fldChar w:fldCharType="begin"/>
      </w:r>
      <w:r>
        <w:rPr>
          <w:szCs w:val="24"/>
        </w:rPr>
        <w:instrText xml:space="preserve"> REF _Ref513786050 \h </w:instrText>
      </w:r>
      <w:r>
        <w:rPr>
          <w:szCs w:val="24"/>
        </w:rPr>
      </w:r>
      <w:r>
        <w:rPr>
          <w:szCs w:val="24"/>
        </w:rPr>
        <w:fldChar w:fldCharType="separate"/>
      </w:r>
      <w:r w:rsidR="00441928" w:rsidRPr="00943E4B">
        <w:t xml:space="preserve">Table </w:t>
      </w:r>
      <w:r w:rsidR="00441928">
        <w:rPr>
          <w:noProof/>
        </w:rPr>
        <w:t>II</w:t>
      </w:r>
      <w:r w:rsidR="00441928" w:rsidRPr="00943E4B">
        <w:noBreakHyphen/>
      </w:r>
      <w:r w:rsidR="00441928">
        <w:rPr>
          <w:noProof/>
        </w:rPr>
        <w:t>5</w:t>
      </w:r>
      <w:r>
        <w:rPr>
          <w:szCs w:val="24"/>
        </w:rPr>
        <w:fldChar w:fldCharType="end"/>
      </w:r>
      <w:r w:rsidR="000B1EEA">
        <w:rPr>
          <w:szCs w:val="24"/>
        </w:rPr>
        <w:t xml:space="preserve"> </w:t>
      </w:r>
      <w:r w:rsidR="007B4DAA">
        <w:rPr>
          <w:szCs w:val="24"/>
        </w:rPr>
        <w:t>shows the probability weighting of the Total Reliability Cost.</w:t>
      </w:r>
      <w:r w:rsidR="00A648A6">
        <w:rPr>
          <w:szCs w:val="24"/>
        </w:rPr>
        <w:t xml:space="preserve"> </w:t>
      </w:r>
      <w:r w:rsidR="00F003CE">
        <w:rPr>
          <w:szCs w:val="24"/>
        </w:rPr>
        <w:t xml:space="preserve">For illustrative purposes, </w:t>
      </w:r>
      <w:r w:rsidR="00F003CE" w:rsidRPr="00F003CE">
        <w:rPr>
          <w:szCs w:val="24"/>
        </w:rPr>
        <w:t xml:space="preserve">all calculations are for </w:t>
      </w:r>
      <w:r w:rsidR="00122F4B">
        <w:rPr>
          <w:szCs w:val="24"/>
        </w:rPr>
        <w:t>a</w:t>
      </w:r>
      <w:r w:rsidR="00F003CE" w:rsidRPr="00F003CE">
        <w:rPr>
          <w:szCs w:val="24"/>
        </w:rPr>
        <w:t xml:space="preserve"> </w:t>
      </w:r>
      <w:r w:rsidR="00F8399F">
        <w:rPr>
          <w:szCs w:val="24"/>
        </w:rPr>
        <w:t>26</w:t>
      </w:r>
      <w:r w:rsidR="007B4DAA">
        <w:rPr>
          <w:szCs w:val="24"/>
        </w:rPr>
        <w:t xml:space="preserve">% </w:t>
      </w:r>
      <w:r w:rsidR="00F8399F">
        <w:rPr>
          <w:szCs w:val="24"/>
        </w:rPr>
        <w:t>winter</w:t>
      </w:r>
      <w:r w:rsidR="007B4DAA">
        <w:rPr>
          <w:szCs w:val="24"/>
        </w:rPr>
        <w:t xml:space="preserve"> reserve margin simulation.</w:t>
      </w:r>
    </w:p>
    <w:p w14:paraId="73BCD7F6" w14:textId="3538D652" w:rsidR="00877D9E" w:rsidRPr="00943E4B" w:rsidRDefault="00877D9E" w:rsidP="00877D9E">
      <w:pPr>
        <w:pStyle w:val="Caption"/>
        <w:keepNext/>
      </w:pPr>
      <w:bookmarkStart w:id="311" w:name="_Ref513786005"/>
      <w:bookmarkStart w:id="312" w:name="_Toc513710540"/>
      <w:bookmarkStart w:id="313" w:name="_Toc187234648"/>
      <w:r w:rsidRPr="00943E4B">
        <w:t xml:space="preserve">Table </w:t>
      </w:r>
      <w:r w:rsidR="00161C58" w:rsidRPr="00943E4B">
        <w:fldChar w:fldCharType="begin"/>
      </w:r>
      <w:r w:rsidR="00161C58" w:rsidRPr="00943E4B">
        <w:instrText xml:space="preserve"> STYLEREF 1 \s </w:instrText>
      </w:r>
      <w:r w:rsidR="00161C58" w:rsidRPr="00943E4B">
        <w:fldChar w:fldCharType="separate"/>
      </w:r>
      <w:r w:rsidR="00161C58">
        <w:rPr>
          <w:noProof/>
        </w:rPr>
        <w:t>II</w:t>
      </w:r>
      <w:r w:rsidR="00161C58" w:rsidRPr="00943E4B">
        <w:rPr>
          <w:noProof/>
        </w:rPr>
        <w:fldChar w:fldCharType="end"/>
      </w:r>
      <w:r w:rsidR="00922797" w:rsidRPr="00943E4B">
        <w:noBreakHyphen/>
      </w:r>
      <w:r w:rsidR="00161C58" w:rsidRPr="00943E4B">
        <w:fldChar w:fldCharType="begin"/>
      </w:r>
      <w:r w:rsidR="00161C58" w:rsidRPr="00943E4B">
        <w:instrText xml:space="preserve"> SEQ Table \* ARABIC \s 1 </w:instrText>
      </w:r>
      <w:r w:rsidR="00161C58" w:rsidRPr="00943E4B">
        <w:fldChar w:fldCharType="separate"/>
      </w:r>
      <w:r w:rsidR="00441928">
        <w:rPr>
          <w:noProof/>
        </w:rPr>
        <w:t>4</w:t>
      </w:r>
      <w:r w:rsidR="00161C58" w:rsidRPr="00943E4B">
        <w:rPr>
          <w:noProof/>
        </w:rPr>
        <w:fldChar w:fldCharType="end"/>
      </w:r>
      <w:bookmarkEnd w:id="311"/>
      <w:r w:rsidRPr="00943E4B">
        <w:t xml:space="preserve">. Sample Calculation Top 10 Worst Reliability Costs at </w:t>
      </w:r>
      <w:r w:rsidR="00942294" w:rsidRPr="00943E4B">
        <w:t>26</w:t>
      </w:r>
      <w:r w:rsidRPr="00943E4B">
        <w:t xml:space="preserve">% </w:t>
      </w:r>
      <w:r w:rsidR="00942294" w:rsidRPr="00943E4B">
        <w:t>Winter</w:t>
      </w:r>
      <w:r w:rsidR="00BD567A" w:rsidRPr="00943E4B">
        <w:t xml:space="preserve"> </w:t>
      </w:r>
      <w:r w:rsidRPr="00943E4B">
        <w:t>Reserves</w:t>
      </w:r>
      <w:bookmarkEnd w:id="312"/>
      <w:bookmarkEnd w:id="313"/>
    </w:p>
    <w:tbl>
      <w:tblPr>
        <w:tblStyle w:val="TableGrid"/>
        <w:tblpPr w:leftFromText="180" w:rightFromText="180" w:vertAnchor="page" w:horzAnchor="margin" w:tblpXSpec="center" w:tblpY="2401"/>
        <w:tblW w:w="9445" w:type="dxa"/>
        <w:jc w:val="center"/>
        <w:tblLayout w:type="fixed"/>
        <w:tblLook w:val="04A0" w:firstRow="1" w:lastRow="0" w:firstColumn="1" w:lastColumn="0" w:noHBand="0" w:noVBand="1"/>
      </w:tblPr>
      <w:tblGrid>
        <w:gridCol w:w="674"/>
        <w:gridCol w:w="1211"/>
        <w:gridCol w:w="1206"/>
        <w:gridCol w:w="832"/>
        <w:gridCol w:w="1149"/>
        <w:gridCol w:w="1305"/>
        <w:gridCol w:w="1088"/>
        <w:gridCol w:w="975"/>
        <w:gridCol w:w="1005"/>
      </w:tblGrid>
      <w:tr w:rsidR="00FE46B5" w:rsidRPr="00943E4B" w14:paraId="208ABEEA" w14:textId="77777777" w:rsidTr="00441928">
        <w:trPr>
          <w:trHeight w:val="1609"/>
          <w:jc w:val="center"/>
        </w:trPr>
        <w:tc>
          <w:tcPr>
            <w:tcW w:w="674" w:type="dxa"/>
            <w:hideMark/>
          </w:tcPr>
          <w:p w14:paraId="20DA3EC4" w14:textId="653F0A65" w:rsidR="00FE46B5" w:rsidRPr="00FE46B5" w:rsidRDefault="00FE46B5" w:rsidP="00441928">
            <w:pPr>
              <w:pStyle w:val="Caption"/>
              <w:keepNext/>
              <w:keepLines/>
              <w:jc w:val="center"/>
              <w:rPr>
                <w:rFonts w:asciiTheme="majorHAnsi" w:hAnsiTheme="majorHAnsi" w:cstheme="majorHAnsi"/>
                <w:sz w:val="18"/>
                <w:szCs w:val="18"/>
              </w:rPr>
            </w:pPr>
            <w:r w:rsidRPr="00FE46B5">
              <w:rPr>
                <w:rFonts w:asciiTheme="majorHAnsi" w:hAnsiTheme="majorHAnsi" w:cstheme="majorHAnsi"/>
                <w:sz w:val="18"/>
                <w:szCs w:val="18"/>
              </w:rPr>
              <w:t>Data Set</w:t>
            </w:r>
          </w:p>
        </w:tc>
        <w:tc>
          <w:tcPr>
            <w:tcW w:w="1211" w:type="dxa"/>
            <w:hideMark/>
          </w:tcPr>
          <w:p w14:paraId="6FA69C0C" w14:textId="1B46D110" w:rsidR="00FE46B5" w:rsidRPr="00FE46B5" w:rsidRDefault="00FE46B5" w:rsidP="00441928">
            <w:pPr>
              <w:pStyle w:val="Caption"/>
              <w:keepNext/>
              <w:keepLines/>
              <w:jc w:val="center"/>
              <w:rPr>
                <w:rFonts w:asciiTheme="majorHAnsi" w:hAnsiTheme="majorHAnsi" w:cstheme="majorHAnsi"/>
                <w:sz w:val="18"/>
                <w:szCs w:val="18"/>
              </w:rPr>
            </w:pPr>
            <w:r w:rsidRPr="00FE46B5">
              <w:rPr>
                <w:rFonts w:asciiTheme="majorHAnsi" w:hAnsiTheme="majorHAnsi" w:cstheme="majorHAnsi"/>
                <w:sz w:val="18"/>
                <w:szCs w:val="18"/>
              </w:rPr>
              <w:t>Emergency Purchases (MWh)</w:t>
            </w:r>
          </w:p>
        </w:tc>
        <w:tc>
          <w:tcPr>
            <w:tcW w:w="1206" w:type="dxa"/>
            <w:hideMark/>
          </w:tcPr>
          <w:p w14:paraId="65BD7710" w14:textId="511400D4" w:rsidR="00FE46B5" w:rsidRPr="00FE46B5" w:rsidRDefault="00FE46B5" w:rsidP="00441928">
            <w:pPr>
              <w:pStyle w:val="Caption"/>
              <w:keepNext/>
              <w:keepLines/>
              <w:jc w:val="center"/>
              <w:rPr>
                <w:rFonts w:asciiTheme="majorHAnsi" w:hAnsiTheme="majorHAnsi" w:cstheme="majorHAnsi"/>
                <w:sz w:val="18"/>
                <w:szCs w:val="18"/>
              </w:rPr>
            </w:pPr>
            <w:r w:rsidRPr="00FE46B5">
              <w:rPr>
                <w:rFonts w:asciiTheme="majorHAnsi" w:hAnsiTheme="majorHAnsi" w:cstheme="majorHAnsi"/>
                <w:sz w:val="18"/>
                <w:szCs w:val="18"/>
              </w:rPr>
              <w:t>Emergency Purchases Cost ($/MWH)</w:t>
            </w:r>
          </w:p>
        </w:tc>
        <w:tc>
          <w:tcPr>
            <w:tcW w:w="832" w:type="dxa"/>
            <w:hideMark/>
          </w:tcPr>
          <w:p w14:paraId="308D80A6" w14:textId="0634CD1D" w:rsidR="00FE46B5" w:rsidRPr="00FE46B5" w:rsidRDefault="00FE46B5" w:rsidP="00441928">
            <w:pPr>
              <w:pStyle w:val="Caption"/>
              <w:keepNext/>
              <w:keepLines/>
              <w:jc w:val="center"/>
              <w:rPr>
                <w:rFonts w:asciiTheme="majorHAnsi" w:hAnsiTheme="majorHAnsi" w:cstheme="majorHAnsi"/>
                <w:sz w:val="18"/>
                <w:szCs w:val="18"/>
              </w:rPr>
            </w:pPr>
            <w:r w:rsidRPr="00FE46B5">
              <w:rPr>
                <w:rFonts w:asciiTheme="majorHAnsi" w:hAnsiTheme="majorHAnsi" w:cstheme="majorHAnsi"/>
                <w:sz w:val="18"/>
                <w:szCs w:val="18"/>
              </w:rPr>
              <w:t>EUE (MWh)</w:t>
            </w:r>
          </w:p>
        </w:tc>
        <w:tc>
          <w:tcPr>
            <w:tcW w:w="1149" w:type="dxa"/>
            <w:hideMark/>
          </w:tcPr>
          <w:p w14:paraId="3F8D1FFE" w14:textId="470B07CB" w:rsidR="00FE46B5" w:rsidRPr="00FE46B5" w:rsidRDefault="00FE46B5" w:rsidP="00441928">
            <w:pPr>
              <w:pStyle w:val="Caption"/>
              <w:keepNext/>
              <w:keepLines/>
              <w:jc w:val="center"/>
              <w:rPr>
                <w:rFonts w:asciiTheme="majorHAnsi" w:hAnsiTheme="majorHAnsi" w:cstheme="majorHAnsi"/>
                <w:sz w:val="18"/>
                <w:szCs w:val="18"/>
              </w:rPr>
            </w:pPr>
            <w:r w:rsidRPr="00FE46B5">
              <w:rPr>
                <w:rFonts w:asciiTheme="majorHAnsi" w:hAnsiTheme="majorHAnsi" w:cstheme="majorHAnsi"/>
                <w:sz w:val="18"/>
                <w:szCs w:val="18"/>
              </w:rPr>
              <w:t>EUE Cost ($/MWH)</w:t>
            </w:r>
          </w:p>
        </w:tc>
        <w:tc>
          <w:tcPr>
            <w:tcW w:w="1305" w:type="dxa"/>
            <w:hideMark/>
          </w:tcPr>
          <w:p w14:paraId="24113C40" w14:textId="0D260290" w:rsidR="00FE46B5" w:rsidRPr="00FE46B5" w:rsidRDefault="00FE46B5" w:rsidP="00441928">
            <w:pPr>
              <w:pStyle w:val="Caption"/>
              <w:keepNext/>
              <w:keepLines/>
              <w:jc w:val="center"/>
              <w:rPr>
                <w:rFonts w:asciiTheme="majorHAnsi" w:hAnsiTheme="majorHAnsi" w:cstheme="majorHAnsi"/>
                <w:sz w:val="18"/>
                <w:szCs w:val="18"/>
              </w:rPr>
            </w:pPr>
            <w:r w:rsidRPr="00FE46B5">
              <w:rPr>
                <w:rFonts w:asciiTheme="majorHAnsi" w:hAnsiTheme="majorHAnsi" w:cstheme="majorHAnsi"/>
                <w:sz w:val="18"/>
                <w:szCs w:val="18"/>
              </w:rPr>
              <w:t>Demand Response Calls (MWh)</w:t>
            </w:r>
          </w:p>
        </w:tc>
        <w:tc>
          <w:tcPr>
            <w:tcW w:w="1088" w:type="dxa"/>
            <w:hideMark/>
          </w:tcPr>
          <w:p w14:paraId="44412915" w14:textId="6BDC86AD" w:rsidR="00FE46B5" w:rsidRPr="00FE46B5" w:rsidRDefault="00FE46B5" w:rsidP="00441928">
            <w:pPr>
              <w:pStyle w:val="Caption"/>
              <w:keepNext/>
              <w:keepLines/>
              <w:jc w:val="center"/>
              <w:rPr>
                <w:rFonts w:asciiTheme="majorHAnsi" w:hAnsiTheme="majorHAnsi" w:cstheme="majorHAnsi"/>
                <w:sz w:val="18"/>
                <w:szCs w:val="18"/>
              </w:rPr>
            </w:pPr>
            <w:r w:rsidRPr="00FE46B5">
              <w:rPr>
                <w:rFonts w:asciiTheme="majorHAnsi" w:hAnsiTheme="majorHAnsi" w:cstheme="majorHAnsi"/>
                <w:sz w:val="18"/>
                <w:szCs w:val="18"/>
              </w:rPr>
              <w:t>Weighted DR Cost ($/MWH)</w:t>
            </w:r>
          </w:p>
        </w:tc>
        <w:tc>
          <w:tcPr>
            <w:tcW w:w="975" w:type="dxa"/>
            <w:hideMark/>
          </w:tcPr>
          <w:p w14:paraId="12D1EF8F" w14:textId="6B268EAB" w:rsidR="00FE46B5" w:rsidRPr="00FE46B5" w:rsidRDefault="00FE46B5" w:rsidP="00441928">
            <w:pPr>
              <w:pStyle w:val="Caption"/>
              <w:keepNext/>
              <w:keepLines/>
              <w:jc w:val="center"/>
              <w:rPr>
                <w:rFonts w:asciiTheme="majorHAnsi" w:hAnsiTheme="majorHAnsi" w:cstheme="majorHAnsi"/>
                <w:sz w:val="18"/>
                <w:szCs w:val="18"/>
              </w:rPr>
            </w:pPr>
            <w:r w:rsidRPr="00FE46B5">
              <w:rPr>
                <w:rFonts w:asciiTheme="majorHAnsi" w:hAnsiTheme="majorHAnsi" w:cstheme="majorHAnsi"/>
                <w:sz w:val="18"/>
                <w:szCs w:val="18"/>
              </w:rPr>
              <w:t xml:space="preserve"> Loss of Non- Spin (MWh)</w:t>
            </w:r>
          </w:p>
        </w:tc>
        <w:tc>
          <w:tcPr>
            <w:tcW w:w="1005" w:type="dxa"/>
            <w:hideMark/>
          </w:tcPr>
          <w:p w14:paraId="1AE00E21" w14:textId="413C14FB" w:rsidR="00FE46B5" w:rsidRPr="00FE46B5" w:rsidRDefault="00FE46B5" w:rsidP="00441928">
            <w:pPr>
              <w:pStyle w:val="Caption"/>
              <w:keepNext/>
              <w:keepLines/>
              <w:jc w:val="center"/>
              <w:rPr>
                <w:rFonts w:asciiTheme="majorHAnsi" w:hAnsiTheme="majorHAnsi" w:cstheme="majorHAnsi"/>
                <w:sz w:val="18"/>
                <w:szCs w:val="18"/>
              </w:rPr>
            </w:pPr>
            <w:r w:rsidRPr="00FE46B5">
              <w:rPr>
                <w:rFonts w:asciiTheme="majorHAnsi" w:hAnsiTheme="majorHAnsi" w:cstheme="majorHAnsi"/>
                <w:sz w:val="18"/>
                <w:szCs w:val="18"/>
              </w:rPr>
              <w:t>Loss of Non- Spin Cost ($/MWH)</w:t>
            </w:r>
          </w:p>
        </w:tc>
      </w:tr>
      <w:tr w:rsidR="0097702D" w:rsidRPr="00943E4B" w14:paraId="505E21ED" w14:textId="77777777" w:rsidTr="00441928">
        <w:trPr>
          <w:trHeight w:val="300"/>
          <w:jc w:val="center"/>
        </w:trPr>
        <w:tc>
          <w:tcPr>
            <w:tcW w:w="674" w:type="dxa"/>
            <w:noWrap/>
            <w:hideMark/>
          </w:tcPr>
          <w:p w14:paraId="05CACFF5" w14:textId="3D4E3B6B" w:rsidR="0097702D" w:rsidRPr="00FE46B5" w:rsidRDefault="0097702D" w:rsidP="00441928">
            <w:pPr>
              <w:pStyle w:val="Caption"/>
              <w:keepNext/>
              <w:keepLines/>
              <w:jc w:val="center"/>
              <w:rPr>
                <w:rFonts w:cs="Arial"/>
                <w:b w:val="0"/>
                <w:bCs w:val="0"/>
                <w:sz w:val="18"/>
                <w:szCs w:val="18"/>
              </w:rPr>
            </w:pPr>
            <w:r w:rsidRPr="00FE46B5">
              <w:rPr>
                <w:b w:val="0"/>
                <w:bCs w:val="0"/>
                <w:sz w:val="18"/>
                <w:szCs w:val="18"/>
              </w:rPr>
              <w:t>1</w:t>
            </w:r>
          </w:p>
        </w:tc>
        <w:tc>
          <w:tcPr>
            <w:tcW w:w="1211" w:type="dxa"/>
            <w:noWrap/>
          </w:tcPr>
          <w:p w14:paraId="50989F47" w14:textId="457CCD29" w:rsidR="0097702D" w:rsidRPr="009D5DE3" w:rsidRDefault="0097702D" w:rsidP="00441928">
            <w:pPr>
              <w:pStyle w:val="Caption"/>
              <w:keepNext/>
              <w:keepLines/>
              <w:jc w:val="center"/>
              <w:rPr>
                <w:rFonts w:cs="Arial"/>
                <w:sz w:val="14"/>
                <w:szCs w:val="14"/>
              </w:rPr>
            </w:pPr>
            <w:r w:rsidRPr="009D5DE3">
              <w:rPr>
                <w:sz w:val="14"/>
                <w:szCs w:val="14"/>
              </w:rPr>
              <w:t xml:space="preserve"> </w:t>
            </w:r>
            <w:r w:rsidR="008F4FA7" w:rsidRPr="009D5DE3">
              <w:rPr>
                <w:sz w:val="14"/>
                <w:szCs w:val="14"/>
              </w:rPr>
              <w:t>REDACTED</w:t>
            </w:r>
            <w:r w:rsidRPr="009D5DE3">
              <w:rPr>
                <w:sz w:val="14"/>
                <w:szCs w:val="14"/>
              </w:rPr>
              <w:t xml:space="preserve"> </w:t>
            </w:r>
          </w:p>
        </w:tc>
        <w:tc>
          <w:tcPr>
            <w:tcW w:w="1206" w:type="dxa"/>
            <w:noWrap/>
          </w:tcPr>
          <w:p w14:paraId="0A234641" w14:textId="59555DC6" w:rsidR="0097702D" w:rsidRPr="009D5DE3" w:rsidRDefault="008F4FA7" w:rsidP="00441928">
            <w:pPr>
              <w:pStyle w:val="Caption"/>
              <w:keepNext/>
              <w:keepLines/>
              <w:jc w:val="center"/>
              <w:rPr>
                <w:rFonts w:cs="Arial"/>
                <w:sz w:val="14"/>
                <w:szCs w:val="14"/>
              </w:rPr>
            </w:pPr>
            <w:r w:rsidRPr="009D5DE3">
              <w:rPr>
                <w:sz w:val="14"/>
                <w:szCs w:val="14"/>
              </w:rPr>
              <w:t>REDACTED</w:t>
            </w:r>
          </w:p>
        </w:tc>
        <w:tc>
          <w:tcPr>
            <w:tcW w:w="832" w:type="dxa"/>
            <w:noWrap/>
          </w:tcPr>
          <w:p w14:paraId="064AEED4" w14:textId="6E8D45A1" w:rsidR="0097702D" w:rsidRPr="0097702D" w:rsidRDefault="0097702D" w:rsidP="00441928">
            <w:pPr>
              <w:pStyle w:val="Caption"/>
              <w:keepNext/>
              <w:keepLines/>
              <w:jc w:val="center"/>
              <w:rPr>
                <w:rFonts w:cs="Arial"/>
                <w:b w:val="0"/>
                <w:bCs w:val="0"/>
                <w:sz w:val="18"/>
                <w:szCs w:val="18"/>
              </w:rPr>
            </w:pPr>
            <w:r w:rsidRPr="0097702D">
              <w:rPr>
                <w:b w:val="0"/>
                <w:bCs w:val="0"/>
                <w:sz w:val="18"/>
                <w:szCs w:val="18"/>
              </w:rPr>
              <w:t xml:space="preserve"> 41,388 </w:t>
            </w:r>
          </w:p>
        </w:tc>
        <w:tc>
          <w:tcPr>
            <w:tcW w:w="1149" w:type="dxa"/>
            <w:noWrap/>
          </w:tcPr>
          <w:p w14:paraId="03B8EBDF" w14:textId="09B3F981" w:rsidR="0097702D" w:rsidRPr="0097702D" w:rsidRDefault="0097702D" w:rsidP="00441928">
            <w:pPr>
              <w:pStyle w:val="Caption"/>
              <w:keepNext/>
              <w:keepLines/>
              <w:jc w:val="center"/>
              <w:rPr>
                <w:rFonts w:cs="Arial"/>
                <w:b w:val="0"/>
                <w:bCs w:val="0"/>
                <w:sz w:val="18"/>
                <w:szCs w:val="18"/>
              </w:rPr>
            </w:pPr>
            <w:r w:rsidRPr="0097702D">
              <w:rPr>
                <w:b w:val="0"/>
                <w:bCs w:val="0"/>
                <w:sz w:val="18"/>
                <w:szCs w:val="18"/>
              </w:rPr>
              <w:t xml:space="preserve"> $40,280 </w:t>
            </w:r>
          </w:p>
        </w:tc>
        <w:tc>
          <w:tcPr>
            <w:tcW w:w="1305" w:type="dxa"/>
            <w:noWrap/>
          </w:tcPr>
          <w:p w14:paraId="683D8DF8" w14:textId="7A3E6DB7" w:rsidR="0097702D" w:rsidRPr="0097702D" w:rsidRDefault="0097702D" w:rsidP="00441928">
            <w:pPr>
              <w:pStyle w:val="Caption"/>
              <w:keepNext/>
              <w:keepLines/>
              <w:jc w:val="center"/>
              <w:rPr>
                <w:rFonts w:cs="Arial"/>
                <w:b w:val="0"/>
                <w:bCs w:val="0"/>
                <w:sz w:val="18"/>
                <w:szCs w:val="18"/>
              </w:rPr>
            </w:pPr>
            <w:r w:rsidRPr="0097702D">
              <w:rPr>
                <w:b w:val="0"/>
                <w:bCs w:val="0"/>
                <w:sz w:val="18"/>
                <w:szCs w:val="18"/>
              </w:rPr>
              <w:t xml:space="preserve"> 27,804 </w:t>
            </w:r>
          </w:p>
        </w:tc>
        <w:tc>
          <w:tcPr>
            <w:tcW w:w="1088" w:type="dxa"/>
            <w:noWrap/>
          </w:tcPr>
          <w:p w14:paraId="1C7C59A2" w14:textId="0EA29923" w:rsidR="0097702D" w:rsidRPr="009D5DE3" w:rsidRDefault="008F4FA7" w:rsidP="00441928">
            <w:pPr>
              <w:pStyle w:val="Caption"/>
              <w:keepNext/>
              <w:keepLines/>
              <w:jc w:val="center"/>
              <w:rPr>
                <w:rFonts w:cs="Arial"/>
                <w:sz w:val="18"/>
                <w:szCs w:val="18"/>
              </w:rPr>
            </w:pPr>
            <w:r w:rsidRPr="009D5DE3">
              <w:rPr>
                <w:sz w:val="14"/>
                <w:szCs w:val="14"/>
              </w:rPr>
              <w:t>REDACTED</w:t>
            </w:r>
          </w:p>
        </w:tc>
        <w:tc>
          <w:tcPr>
            <w:tcW w:w="975" w:type="dxa"/>
            <w:noWrap/>
          </w:tcPr>
          <w:p w14:paraId="69875CF6" w14:textId="75138475" w:rsidR="0097702D" w:rsidRPr="0097702D" w:rsidRDefault="0097702D" w:rsidP="00441928">
            <w:pPr>
              <w:pStyle w:val="Caption"/>
              <w:keepNext/>
              <w:keepLines/>
              <w:jc w:val="center"/>
              <w:rPr>
                <w:rFonts w:cs="Arial"/>
                <w:b w:val="0"/>
                <w:bCs w:val="0"/>
                <w:sz w:val="18"/>
                <w:szCs w:val="18"/>
              </w:rPr>
            </w:pPr>
            <w:r w:rsidRPr="0097702D">
              <w:rPr>
                <w:b w:val="0"/>
                <w:bCs w:val="0"/>
                <w:sz w:val="18"/>
                <w:szCs w:val="18"/>
              </w:rPr>
              <w:t xml:space="preserve">28,888 </w:t>
            </w:r>
          </w:p>
        </w:tc>
        <w:tc>
          <w:tcPr>
            <w:tcW w:w="1005" w:type="dxa"/>
            <w:noWrap/>
          </w:tcPr>
          <w:p w14:paraId="090643A7" w14:textId="0BEE66BC" w:rsidR="0097702D" w:rsidRPr="009D5DE3" w:rsidRDefault="008F4FA7" w:rsidP="00441928">
            <w:pPr>
              <w:pStyle w:val="Caption"/>
              <w:keepNext/>
              <w:keepLines/>
              <w:jc w:val="center"/>
              <w:rPr>
                <w:rFonts w:cs="Arial"/>
                <w:sz w:val="18"/>
                <w:szCs w:val="18"/>
              </w:rPr>
            </w:pPr>
            <w:r w:rsidRPr="009D5DE3">
              <w:rPr>
                <w:sz w:val="14"/>
                <w:szCs w:val="14"/>
              </w:rPr>
              <w:t>REDACTED</w:t>
            </w:r>
            <w:r w:rsidR="0097702D" w:rsidRPr="009D5DE3">
              <w:rPr>
                <w:sz w:val="14"/>
                <w:szCs w:val="14"/>
              </w:rPr>
              <w:t xml:space="preserve"> </w:t>
            </w:r>
          </w:p>
        </w:tc>
      </w:tr>
      <w:tr w:rsidR="008F4FA7" w:rsidRPr="00943E4B" w14:paraId="0B645364" w14:textId="77777777" w:rsidTr="00441928">
        <w:trPr>
          <w:trHeight w:val="300"/>
          <w:jc w:val="center"/>
        </w:trPr>
        <w:tc>
          <w:tcPr>
            <w:tcW w:w="674" w:type="dxa"/>
            <w:noWrap/>
            <w:hideMark/>
          </w:tcPr>
          <w:p w14:paraId="46486D25" w14:textId="27412299" w:rsidR="008F4FA7" w:rsidRPr="00FE46B5" w:rsidRDefault="008F4FA7" w:rsidP="008F4FA7">
            <w:pPr>
              <w:pStyle w:val="Caption"/>
              <w:keepNext/>
              <w:keepLines/>
              <w:jc w:val="center"/>
              <w:rPr>
                <w:rFonts w:cs="Arial"/>
                <w:b w:val="0"/>
                <w:bCs w:val="0"/>
                <w:sz w:val="18"/>
                <w:szCs w:val="18"/>
              </w:rPr>
            </w:pPr>
            <w:r w:rsidRPr="00FE46B5">
              <w:rPr>
                <w:b w:val="0"/>
                <w:bCs w:val="0"/>
                <w:sz w:val="18"/>
                <w:szCs w:val="18"/>
              </w:rPr>
              <w:t>2</w:t>
            </w:r>
          </w:p>
        </w:tc>
        <w:tc>
          <w:tcPr>
            <w:tcW w:w="1211" w:type="dxa"/>
            <w:noWrap/>
          </w:tcPr>
          <w:p w14:paraId="638FFB6E" w14:textId="7BFE2F07" w:rsidR="008F4FA7" w:rsidRPr="009D5DE3" w:rsidRDefault="008F4FA7" w:rsidP="008F4FA7">
            <w:pPr>
              <w:pStyle w:val="Caption"/>
              <w:keepNext/>
              <w:keepLines/>
              <w:jc w:val="center"/>
              <w:rPr>
                <w:rFonts w:cs="Arial"/>
                <w:sz w:val="14"/>
                <w:szCs w:val="14"/>
              </w:rPr>
            </w:pPr>
            <w:r w:rsidRPr="009D5DE3">
              <w:rPr>
                <w:sz w:val="14"/>
                <w:szCs w:val="14"/>
              </w:rPr>
              <w:t xml:space="preserve"> REDACTED </w:t>
            </w:r>
          </w:p>
        </w:tc>
        <w:tc>
          <w:tcPr>
            <w:tcW w:w="1206" w:type="dxa"/>
            <w:noWrap/>
          </w:tcPr>
          <w:p w14:paraId="25ADA6BF" w14:textId="18F2D87B" w:rsidR="008F4FA7" w:rsidRPr="009D5DE3" w:rsidRDefault="008F4FA7" w:rsidP="008F4FA7">
            <w:pPr>
              <w:pStyle w:val="Caption"/>
              <w:keepNext/>
              <w:keepLines/>
              <w:jc w:val="center"/>
              <w:rPr>
                <w:rFonts w:cs="Arial"/>
                <w:sz w:val="14"/>
                <w:szCs w:val="14"/>
              </w:rPr>
            </w:pPr>
            <w:r w:rsidRPr="009D5DE3">
              <w:rPr>
                <w:sz w:val="14"/>
                <w:szCs w:val="14"/>
              </w:rPr>
              <w:t>REDACTED</w:t>
            </w:r>
          </w:p>
        </w:tc>
        <w:tc>
          <w:tcPr>
            <w:tcW w:w="832" w:type="dxa"/>
            <w:noWrap/>
          </w:tcPr>
          <w:p w14:paraId="11E2A390" w14:textId="12825B8B"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33,959 </w:t>
            </w:r>
          </w:p>
        </w:tc>
        <w:tc>
          <w:tcPr>
            <w:tcW w:w="1149" w:type="dxa"/>
            <w:noWrap/>
          </w:tcPr>
          <w:p w14:paraId="3EA98B4D" w14:textId="198B504C"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$40,280 </w:t>
            </w:r>
          </w:p>
        </w:tc>
        <w:tc>
          <w:tcPr>
            <w:tcW w:w="1305" w:type="dxa"/>
            <w:noWrap/>
          </w:tcPr>
          <w:p w14:paraId="0951E776" w14:textId="21108D1F"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27,685 </w:t>
            </w:r>
          </w:p>
        </w:tc>
        <w:tc>
          <w:tcPr>
            <w:tcW w:w="1088" w:type="dxa"/>
            <w:noWrap/>
          </w:tcPr>
          <w:p w14:paraId="26294F38" w14:textId="28B7E48F" w:rsidR="008F4FA7" w:rsidRPr="009D5DE3" w:rsidRDefault="008F4FA7" w:rsidP="008F4FA7">
            <w:pPr>
              <w:pStyle w:val="Caption"/>
              <w:keepNext/>
              <w:keepLines/>
              <w:jc w:val="center"/>
              <w:rPr>
                <w:rFonts w:cs="Arial"/>
                <w:sz w:val="18"/>
                <w:szCs w:val="18"/>
              </w:rPr>
            </w:pPr>
            <w:r w:rsidRPr="009D5DE3">
              <w:rPr>
                <w:sz w:val="14"/>
                <w:szCs w:val="14"/>
              </w:rPr>
              <w:t>REDACTED</w:t>
            </w:r>
          </w:p>
        </w:tc>
        <w:tc>
          <w:tcPr>
            <w:tcW w:w="975" w:type="dxa"/>
            <w:noWrap/>
          </w:tcPr>
          <w:p w14:paraId="19D0D769" w14:textId="6741F771"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30,370 </w:t>
            </w:r>
          </w:p>
        </w:tc>
        <w:tc>
          <w:tcPr>
            <w:tcW w:w="1005" w:type="dxa"/>
            <w:noWrap/>
          </w:tcPr>
          <w:p w14:paraId="7BE4963B" w14:textId="4DAC387B" w:rsidR="008F4FA7" w:rsidRPr="009D5DE3" w:rsidRDefault="008F4FA7" w:rsidP="008F4FA7">
            <w:pPr>
              <w:pStyle w:val="Caption"/>
              <w:keepNext/>
              <w:keepLines/>
              <w:jc w:val="center"/>
              <w:rPr>
                <w:rFonts w:cs="Arial"/>
                <w:sz w:val="18"/>
                <w:szCs w:val="18"/>
              </w:rPr>
            </w:pPr>
            <w:r w:rsidRPr="009D5DE3">
              <w:rPr>
                <w:sz w:val="14"/>
                <w:szCs w:val="14"/>
              </w:rPr>
              <w:t>REDACTED</w:t>
            </w:r>
          </w:p>
        </w:tc>
      </w:tr>
      <w:tr w:rsidR="008F4FA7" w:rsidRPr="00943E4B" w14:paraId="0255BE44" w14:textId="77777777" w:rsidTr="00441928">
        <w:trPr>
          <w:trHeight w:val="300"/>
          <w:jc w:val="center"/>
        </w:trPr>
        <w:tc>
          <w:tcPr>
            <w:tcW w:w="674" w:type="dxa"/>
            <w:noWrap/>
            <w:hideMark/>
          </w:tcPr>
          <w:p w14:paraId="22DFE3D8" w14:textId="6921FA15" w:rsidR="008F4FA7" w:rsidRPr="00FE46B5" w:rsidRDefault="008F4FA7" w:rsidP="008F4FA7">
            <w:pPr>
              <w:pStyle w:val="Caption"/>
              <w:keepNext/>
              <w:keepLines/>
              <w:jc w:val="center"/>
              <w:rPr>
                <w:rFonts w:cs="Arial"/>
                <w:b w:val="0"/>
                <w:bCs w:val="0"/>
                <w:sz w:val="18"/>
                <w:szCs w:val="18"/>
              </w:rPr>
            </w:pPr>
            <w:r w:rsidRPr="00FE46B5">
              <w:rPr>
                <w:b w:val="0"/>
                <w:bCs w:val="0"/>
                <w:sz w:val="18"/>
                <w:szCs w:val="18"/>
              </w:rPr>
              <w:t>3</w:t>
            </w:r>
          </w:p>
        </w:tc>
        <w:tc>
          <w:tcPr>
            <w:tcW w:w="1211" w:type="dxa"/>
            <w:noWrap/>
          </w:tcPr>
          <w:p w14:paraId="02349802" w14:textId="4358F5F1" w:rsidR="008F4FA7" w:rsidRPr="009D5DE3" w:rsidRDefault="008F4FA7" w:rsidP="008F4FA7">
            <w:pPr>
              <w:pStyle w:val="Caption"/>
              <w:keepNext/>
              <w:keepLines/>
              <w:jc w:val="center"/>
              <w:rPr>
                <w:rFonts w:cs="Arial"/>
                <w:sz w:val="14"/>
                <w:szCs w:val="14"/>
              </w:rPr>
            </w:pPr>
            <w:r w:rsidRPr="009D5DE3">
              <w:rPr>
                <w:sz w:val="14"/>
                <w:szCs w:val="14"/>
              </w:rPr>
              <w:t xml:space="preserve"> REDACTED </w:t>
            </w:r>
          </w:p>
        </w:tc>
        <w:tc>
          <w:tcPr>
            <w:tcW w:w="1206" w:type="dxa"/>
            <w:noWrap/>
          </w:tcPr>
          <w:p w14:paraId="36B84398" w14:textId="1BE99EBE" w:rsidR="008F4FA7" w:rsidRPr="009D5DE3" w:rsidRDefault="008F4FA7" w:rsidP="008F4FA7">
            <w:pPr>
              <w:pStyle w:val="Caption"/>
              <w:keepNext/>
              <w:keepLines/>
              <w:jc w:val="center"/>
              <w:rPr>
                <w:rFonts w:cs="Arial"/>
                <w:sz w:val="14"/>
                <w:szCs w:val="14"/>
              </w:rPr>
            </w:pPr>
            <w:r w:rsidRPr="009D5DE3">
              <w:rPr>
                <w:sz w:val="14"/>
                <w:szCs w:val="14"/>
              </w:rPr>
              <w:t>REDACTED</w:t>
            </w:r>
          </w:p>
        </w:tc>
        <w:tc>
          <w:tcPr>
            <w:tcW w:w="832" w:type="dxa"/>
            <w:noWrap/>
          </w:tcPr>
          <w:p w14:paraId="5605E0E8" w14:textId="3A2026E6"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62,206 </w:t>
            </w:r>
          </w:p>
        </w:tc>
        <w:tc>
          <w:tcPr>
            <w:tcW w:w="1149" w:type="dxa"/>
            <w:noWrap/>
          </w:tcPr>
          <w:p w14:paraId="3A920816" w14:textId="3A399BE4"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$40,280 </w:t>
            </w:r>
          </w:p>
        </w:tc>
        <w:tc>
          <w:tcPr>
            <w:tcW w:w="1305" w:type="dxa"/>
            <w:noWrap/>
          </w:tcPr>
          <w:p w14:paraId="0F4D0BBD" w14:textId="580CA958"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30,923 </w:t>
            </w:r>
          </w:p>
        </w:tc>
        <w:tc>
          <w:tcPr>
            <w:tcW w:w="1088" w:type="dxa"/>
            <w:noWrap/>
          </w:tcPr>
          <w:p w14:paraId="19C7F9AD" w14:textId="1F9413FA" w:rsidR="008F4FA7" w:rsidRPr="009D5DE3" w:rsidRDefault="008F4FA7" w:rsidP="008F4FA7">
            <w:pPr>
              <w:pStyle w:val="Caption"/>
              <w:keepNext/>
              <w:keepLines/>
              <w:jc w:val="center"/>
              <w:rPr>
                <w:rFonts w:cs="Arial"/>
                <w:sz w:val="18"/>
                <w:szCs w:val="18"/>
              </w:rPr>
            </w:pPr>
            <w:r w:rsidRPr="009D5DE3">
              <w:rPr>
                <w:sz w:val="14"/>
                <w:szCs w:val="14"/>
              </w:rPr>
              <w:t>REDACTED</w:t>
            </w:r>
          </w:p>
        </w:tc>
        <w:tc>
          <w:tcPr>
            <w:tcW w:w="975" w:type="dxa"/>
            <w:noWrap/>
          </w:tcPr>
          <w:p w14:paraId="27C2152D" w14:textId="77F98A49"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41,758 </w:t>
            </w:r>
          </w:p>
        </w:tc>
        <w:tc>
          <w:tcPr>
            <w:tcW w:w="1005" w:type="dxa"/>
            <w:noWrap/>
          </w:tcPr>
          <w:p w14:paraId="5BB32315" w14:textId="029E934A" w:rsidR="008F4FA7" w:rsidRPr="009D5DE3" w:rsidRDefault="008F4FA7" w:rsidP="008F4FA7">
            <w:pPr>
              <w:pStyle w:val="Caption"/>
              <w:keepNext/>
              <w:keepLines/>
              <w:jc w:val="center"/>
              <w:rPr>
                <w:rFonts w:cs="Arial"/>
                <w:sz w:val="18"/>
                <w:szCs w:val="18"/>
              </w:rPr>
            </w:pPr>
            <w:r w:rsidRPr="009D5DE3">
              <w:rPr>
                <w:sz w:val="14"/>
                <w:szCs w:val="14"/>
              </w:rPr>
              <w:t>REDACTED</w:t>
            </w:r>
          </w:p>
        </w:tc>
      </w:tr>
      <w:tr w:rsidR="008F4FA7" w:rsidRPr="00943E4B" w14:paraId="2C2DFBFB" w14:textId="77777777" w:rsidTr="00441928">
        <w:trPr>
          <w:trHeight w:val="300"/>
          <w:jc w:val="center"/>
        </w:trPr>
        <w:tc>
          <w:tcPr>
            <w:tcW w:w="674" w:type="dxa"/>
            <w:noWrap/>
            <w:hideMark/>
          </w:tcPr>
          <w:p w14:paraId="2E70DDD1" w14:textId="2333E8B9" w:rsidR="008F4FA7" w:rsidRPr="00FE46B5" w:rsidRDefault="008F4FA7" w:rsidP="008F4FA7">
            <w:pPr>
              <w:pStyle w:val="Caption"/>
              <w:keepNext/>
              <w:keepLines/>
              <w:jc w:val="center"/>
              <w:rPr>
                <w:rFonts w:cs="Arial"/>
                <w:b w:val="0"/>
                <w:bCs w:val="0"/>
                <w:sz w:val="18"/>
                <w:szCs w:val="18"/>
              </w:rPr>
            </w:pPr>
            <w:r w:rsidRPr="00FE46B5">
              <w:rPr>
                <w:b w:val="0"/>
                <w:bCs w:val="0"/>
                <w:sz w:val="18"/>
                <w:szCs w:val="18"/>
              </w:rPr>
              <w:t>4</w:t>
            </w:r>
          </w:p>
        </w:tc>
        <w:tc>
          <w:tcPr>
            <w:tcW w:w="1211" w:type="dxa"/>
            <w:noWrap/>
          </w:tcPr>
          <w:p w14:paraId="3AFA6DB9" w14:textId="40959EC5" w:rsidR="008F4FA7" w:rsidRPr="009D5DE3" w:rsidRDefault="008F4FA7" w:rsidP="008F4FA7">
            <w:pPr>
              <w:pStyle w:val="Caption"/>
              <w:keepNext/>
              <w:keepLines/>
              <w:jc w:val="center"/>
              <w:rPr>
                <w:rFonts w:cs="Arial"/>
                <w:sz w:val="14"/>
                <w:szCs w:val="14"/>
              </w:rPr>
            </w:pPr>
            <w:r w:rsidRPr="009D5DE3">
              <w:rPr>
                <w:sz w:val="14"/>
                <w:szCs w:val="14"/>
              </w:rPr>
              <w:t xml:space="preserve"> REDACTED </w:t>
            </w:r>
          </w:p>
        </w:tc>
        <w:tc>
          <w:tcPr>
            <w:tcW w:w="1206" w:type="dxa"/>
            <w:noWrap/>
          </w:tcPr>
          <w:p w14:paraId="34503809" w14:textId="4F416965" w:rsidR="008F4FA7" w:rsidRPr="009D5DE3" w:rsidRDefault="008F4FA7" w:rsidP="008F4FA7">
            <w:pPr>
              <w:pStyle w:val="Caption"/>
              <w:keepNext/>
              <w:keepLines/>
              <w:jc w:val="center"/>
              <w:rPr>
                <w:rFonts w:cs="Arial"/>
                <w:sz w:val="14"/>
                <w:szCs w:val="14"/>
              </w:rPr>
            </w:pPr>
            <w:r w:rsidRPr="009D5DE3">
              <w:rPr>
                <w:sz w:val="14"/>
                <w:szCs w:val="14"/>
              </w:rPr>
              <w:t>REDACTED</w:t>
            </w:r>
          </w:p>
        </w:tc>
        <w:tc>
          <w:tcPr>
            <w:tcW w:w="832" w:type="dxa"/>
            <w:noWrap/>
          </w:tcPr>
          <w:p w14:paraId="04828558" w14:textId="0731D012"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20,037 </w:t>
            </w:r>
          </w:p>
        </w:tc>
        <w:tc>
          <w:tcPr>
            <w:tcW w:w="1149" w:type="dxa"/>
            <w:noWrap/>
          </w:tcPr>
          <w:p w14:paraId="1E422CCE" w14:textId="56FCB789"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$40,280 </w:t>
            </w:r>
          </w:p>
        </w:tc>
        <w:tc>
          <w:tcPr>
            <w:tcW w:w="1305" w:type="dxa"/>
            <w:noWrap/>
          </w:tcPr>
          <w:p w14:paraId="6BBD9846" w14:textId="555EC541"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26,263 </w:t>
            </w:r>
          </w:p>
        </w:tc>
        <w:tc>
          <w:tcPr>
            <w:tcW w:w="1088" w:type="dxa"/>
            <w:noWrap/>
          </w:tcPr>
          <w:p w14:paraId="6387B388" w14:textId="3AC2EC2B" w:rsidR="008F4FA7" w:rsidRPr="009D5DE3" w:rsidRDefault="008F4FA7" w:rsidP="008F4FA7">
            <w:pPr>
              <w:pStyle w:val="Caption"/>
              <w:keepNext/>
              <w:keepLines/>
              <w:jc w:val="center"/>
              <w:rPr>
                <w:rFonts w:cs="Arial"/>
                <w:sz w:val="18"/>
                <w:szCs w:val="18"/>
              </w:rPr>
            </w:pPr>
            <w:r w:rsidRPr="009D5DE3">
              <w:rPr>
                <w:sz w:val="14"/>
                <w:szCs w:val="14"/>
              </w:rPr>
              <w:t>REDACTED</w:t>
            </w:r>
          </w:p>
        </w:tc>
        <w:tc>
          <w:tcPr>
            <w:tcW w:w="975" w:type="dxa"/>
            <w:noWrap/>
          </w:tcPr>
          <w:p w14:paraId="67FF5D38" w14:textId="36D67547"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17,369 </w:t>
            </w:r>
          </w:p>
        </w:tc>
        <w:tc>
          <w:tcPr>
            <w:tcW w:w="1005" w:type="dxa"/>
            <w:noWrap/>
          </w:tcPr>
          <w:p w14:paraId="4AA80E00" w14:textId="4736B9F1" w:rsidR="008F4FA7" w:rsidRPr="009D5DE3" w:rsidRDefault="008F4FA7" w:rsidP="008F4FA7">
            <w:pPr>
              <w:pStyle w:val="Caption"/>
              <w:keepNext/>
              <w:keepLines/>
              <w:jc w:val="center"/>
              <w:rPr>
                <w:rFonts w:cs="Arial"/>
                <w:sz w:val="18"/>
                <w:szCs w:val="18"/>
              </w:rPr>
            </w:pPr>
            <w:r w:rsidRPr="009D5DE3">
              <w:rPr>
                <w:sz w:val="14"/>
                <w:szCs w:val="14"/>
              </w:rPr>
              <w:t>REDACTED</w:t>
            </w:r>
          </w:p>
        </w:tc>
      </w:tr>
      <w:tr w:rsidR="008F4FA7" w:rsidRPr="00943E4B" w14:paraId="5FC71C1E" w14:textId="77777777" w:rsidTr="00441928">
        <w:trPr>
          <w:trHeight w:val="300"/>
          <w:jc w:val="center"/>
        </w:trPr>
        <w:tc>
          <w:tcPr>
            <w:tcW w:w="674" w:type="dxa"/>
            <w:noWrap/>
            <w:hideMark/>
          </w:tcPr>
          <w:p w14:paraId="7B2887D3" w14:textId="098021BA" w:rsidR="008F4FA7" w:rsidRPr="00FE46B5" w:rsidRDefault="008F4FA7" w:rsidP="008F4FA7">
            <w:pPr>
              <w:pStyle w:val="Caption"/>
              <w:keepNext/>
              <w:keepLines/>
              <w:jc w:val="center"/>
              <w:rPr>
                <w:rFonts w:cs="Arial"/>
                <w:b w:val="0"/>
                <w:bCs w:val="0"/>
                <w:sz w:val="18"/>
                <w:szCs w:val="18"/>
              </w:rPr>
            </w:pPr>
            <w:r w:rsidRPr="00FE46B5">
              <w:rPr>
                <w:b w:val="0"/>
                <w:bCs w:val="0"/>
                <w:sz w:val="18"/>
                <w:szCs w:val="18"/>
              </w:rPr>
              <w:t>5</w:t>
            </w:r>
          </w:p>
        </w:tc>
        <w:tc>
          <w:tcPr>
            <w:tcW w:w="1211" w:type="dxa"/>
            <w:noWrap/>
          </w:tcPr>
          <w:p w14:paraId="5CEF99F8" w14:textId="38AD1351" w:rsidR="008F4FA7" w:rsidRPr="009D5DE3" w:rsidRDefault="008F4FA7" w:rsidP="008F4FA7">
            <w:pPr>
              <w:pStyle w:val="Caption"/>
              <w:keepNext/>
              <w:keepLines/>
              <w:jc w:val="center"/>
              <w:rPr>
                <w:rFonts w:cs="Arial"/>
                <w:sz w:val="14"/>
                <w:szCs w:val="14"/>
              </w:rPr>
            </w:pPr>
            <w:r w:rsidRPr="009D5DE3">
              <w:rPr>
                <w:sz w:val="14"/>
                <w:szCs w:val="14"/>
              </w:rPr>
              <w:t xml:space="preserve"> REDACTED </w:t>
            </w:r>
          </w:p>
        </w:tc>
        <w:tc>
          <w:tcPr>
            <w:tcW w:w="1206" w:type="dxa"/>
            <w:noWrap/>
          </w:tcPr>
          <w:p w14:paraId="6EF2A3B8" w14:textId="1A876EB1" w:rsidR="008F4FA7" w:rsidRPr="009D5DE3" w:rsidRDefault="008F4FA7" w:rsidP="008F4FA7">
            <w:pPr>
              <w:pStyle w:val="Caption"/>
              <w:keepNext/>
              <w:keepLines/>
              <w:jc w:val="center"/>
              <w:rPr>
                <w:rFonts w:cs="Arial"/>
                <w:sz w:val="14"/>
                <w:szCs w:val="14"/>
              </w:rPr>
            </w:pPr>
            <w:r w:rsidRPr="009D5DE3">
              <w:rPr>
                <w:sz w:val="14"/>
                <w:szCs w:val="14"/>
              </w:rPr>
              <w:t>REDACTED</w:t>
            </w:r>
          </w:p>
        </w:tc>
        <w:tc>
          <w:tcPr>
            <w:tcW w:w="832" w:type="dxa"/>
            <w:noWrap/>
          </w:tcPr>
          <w:p w14:paraId="6D7FC7DF" w14:textId="17732C3B"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54,290 </w:t>
            </w:r>
          </w:p>
        </w:tc>
        <w:tc>
          <w:tcPr>
            <w:tcW w:w="1149" w:type="dxa"/>
            <w:noWrap/>
          </w:tcPr>
          <w:p w14:paraId="5A23A3EE" w14:textId="6C8D461A"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$40,280 </w:t>
            </w:r>
          </w:p>
        </w:tc>
        <w:tc>
          <w:tcPr>
            <w:tcW w:w="1305" w:type="dxa"/>
            <w:noWrap/>
          </w:tcPr>
          <w:p w14:paraId="2454CD49" w14:textId="335C9F00"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31,229 </w:t>
            </w:r>
          </w:p>
        </w:tc>
        <w:tc>
          <w:tcPr>
            <w:tcW w:w="1088" w:type="dxa"/>
            <w:noWrap/>
          </w:tcPr>
          <w:p w14:paraId="64542B9B" w14:textId="6B5984C1" w:rsidR="008F4FA7" w:rsidRPr="009D5DE3" w:rsidRDefault="008F4FA7" w:rsidP="008F4FA7">
            <w:pPr>
              <w:pStyle w:val="Caption"/>
              <w:keepNext/>
              <w:keepLines/>
              <w:jc w:val="center"/>
              <w:rPr>
                <w:rFonts w:cs="Arial"/>
                <w:sz w:val="18"/>
                <w:szCs w:val="18"/>
              </w:rPr>
            </w:pPr>
            <w:r w:rsidRPr="009D5DE3">
              <w:rPr>
                <w:sz w:val="14"/>
                <w:szCs w:val="14"/>
              </w:rPr>
              <w:t>REDACTED</w:t>
            </w:r>
          </w:p>
        </w:tc>
        <w:tc>
          <w:tcPr>
            <w:tcW w:w="975" w:type="dxa"/>
            <w:noWrap/>
          </w:tcPr>
          <w:p w14:paraId="0C19BB18" w14:textId="14D832CC"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45,646 </w:t>
            </w:r>
          </w:p>
        </w:tc>
        <w:tc>
          <w:tcPr>
            <w:tcW w:w="1005" w:type="dxa"/>
            <w:noWrap/>
          </w:tcPr>
          <w:p w14:paraId="522B3CC4" w14:textId="1A7A4EB7" w:rsidR="008F4FA7" w:rsidRPr="009D5DE3" w:rsidRDefault="008F4FA7" w:rsidP="008F4FA7">
            <w:pPr>
              <w:pStyle w:val="Caption"/>
              <w:keepNext/>
              <w:keepLines/>
              <w:jc w:val="center"/>
              <w:rPr>
                <w:rFonts w:cs="Arial"/>
                <w:sz w:val="18"/>
                <w:szCs w:val="18"/>
              </w:rPr>
            </w:pPr>
            <w:r w:rsidRPr="009D5DE3">
              <w:rPr>
                <w:sz w:val="14"/>
                <w:szCs w:val="14"/>
              </w:rPr>
              <w:t>REDACTED</w:t>
            </w:r>
          </w:p>
        </w:tc>
      </w:tr>
      <w:tr w:rsidR="008F4FA7" w:rsidRPr="00943E4B" w14:paraId="66053091" w14:textId="77777777" w:rsidTr="00441928">
        <w:trPr>
          <w:trHeight w:val="300"/>
          <w:jc w:val="center"/>
        </w:trPr>
        <w:tc>
          <w:tcPr>
            <w:tcW w:w="674" w:type="dxa"/>
            <w:noWrap/>
            <w:hideMark/>
          </w:tcPr>
          <w:p w14:paraId="748EA0D5" w14:textId="48E8EAED" w:rsidR="008F4FA7" w:rsidRPr="00FE46B5" w:rsidRDefault="008F4FA7" w:rsidP="008F4FA7">
            <w:pPr>
              <w:pStyle w:val="Caption"/>
              <w:keepNext/>
              <w:keepLines/>
              <w:jc w:val="center"/>
              <w:rPr>
                <w:rFonts w:cs="Arial"/>
                <w:b w:val="0"/>
                <w:bCs w:val="0"/>
                <w:sz w:val="18"/>
                <w:szCs w:val="18"/>
              </w:rPr>
            </w:pPr>
            <w:r w:rsidRPr="00FE46B5">
              <w:rPr>
                <w:b w:val="0"/>
                <w:bCs w:val="0"/>
                <w:sz w:val="18"/>
                <w:szCs w:val="18"/>
              </w:rPr>
              <w:t>6</w:t>
            </w:r>
          </w:p>
        </w:tc>
        <w:tc>
          <w:tcPr>
            <w:tcW w:w="1211" w:type="dxa"/>
            <w:noWrap/>
          </w:tcPr>
          <w:p w14:paraId="1EBD07D6" w14:textId="73A8F132" w:rsidR="008F4FA7" w:rsidRPr="009D5DE3" w:rsidRDefault="008F4FA7" w:rsidP="008F4FA7">
            <w:pPr>
              <w:pStyle w:val="Caption"/>
              <w:keepNext/>
              <w:keepLines/>
              <w:jc w:val="center"/>
              <w:rPr>
                <w:rFonts w:cs="Arial"/>
                <w:sz w:val="14"/>
                <w:szCs w:val="14"/>
              </w:rPr>
            </w:pPr>
            <w:r w:rsidRPr="009D5DE3">
              <w:rPr>
                <w:sz w:val="14"/>
                <w:szCs w:val="14"/>
              </w:rPr>
              <w:t xml:space="preserve"> REDACTED </w:t>
            </w:r>
          </w:p>
        </w:tc>
        <w:tc>
          <w:tcPr>
            <w:tcW w:w="1206" w:type="dxa"/>
            <w:noWrap/>
          </w:tcPr>
          <w:p w14:paraId="54E26B57" w14:textId="5334F984" w:rsidR="008F4FA7" w:rsidRPr="009D5DE3" w:rsidRDefault="008F4FA7" w:rsidP="008F4FA7">
            <w:pPr>
              <w:pStyle w:val="Caption"/>
              <w:keepNext/>
              <w:keepLines/>
              <w:jc w:val="center"/>
              <w:rPr>
                <w:rFonts w:cs="Arial"/>
                <w:sz w:val="14"/>
                <w:szCs w:val="14"/>
              </w:rPr>
            </w:pPr>
            <w:r w:rsidRPr="009D5DE3">
              <w:rPr>
                <w:sz w:val="14"/>
                <w:szCs w:val="14"/>
              </w:rPr>
              <w:t>REDACTED</w:t>
            </w:r>
          </w:p>
        </w:tc>
        <w:tc>
          <w:tcPr>
            <w:tcW w:w="832" w:type="dxa"/>
            <w:noWrap/>
          </w:tcPr>
          <w:p w14:paraId="0D3CD734" w14:textId="7E358F32"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15,731 </w:t>
            </w:r>
          </w:p>
        </w:tc>
        <w:tc>
          <w:tcPr>
            <w:tcW w:w="1149" w:type="dxa"/>
            <w:noWrap/>
          </w:tcPr>
          <w:p w14:paraId="72189D43" w14:textId="4F347CA7"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$40,280 </w:t>
            </w:r>
          </w:p>
        </w:tc>
        <w:tc>
          <w:tcPr>
            <w:tcW w:w="1305" w:type="dxa"/>
            <w:noWrap/>
          </w:tcPr>
          <w:p w14:paraId="3555F619" w14:textId="0E6D802A"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25,171 </w:t>
            </w:r>
          </w:p>
        </w:tc>
        <w:tc>
          <w:tcPr>
            <w:tcW w:w="1088" w:type="dxa"/>
            <w:noWrap/>
          </w:tcPr>
          <w:p w14:paraId="3DCEE025" w14:textId="0DB97985" w:rsidR="008F4FA7" w:rsidRPr="009D5DE3" w:rsidRDefault="008F4FA7" w:rsidP="008F4FA7">
            <w:pPr>
              <w:pStyle w:val="Caption"/>
              <w:keepNext/>
              <w:keepLines/>
              <w:jc w:val="center"/>
              <w:rPr>
                <w:rFonts w:cs="Arial"/>
                <w:sz w:val="18"/>
                <w:szCs w:val="18"/>
              </w:rPr>
            </w:pPr>
            <w:r w:rsidRPr="009D5DE3">
              <w:rPr>
                <w:sz w:val="14"/>
                <w:szCs w:val="14"/>
              </w:rPr>
              <w:t>REDACTED</w:t>
            </w:r>
          </w:p>
        </w:tc>
        <w:tc>
          <w:tcPr>
            <w:tcW w:w="975" w:type="dxa"/>
            <w:noWrap/>
          </w:tcPr>
          <w:p w14:paraId="4479B4B9" w14:textId="4D5CB509"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19,459 </w:t>
            </w:r>
          </w:p>
        </w:tc>
        <w:tc>
          <w:tcPr>
            <w:tcW w:w="1005" w:type="dxa"/>
            <w:noWrap/>
          </w:tcPr>
          <w:p w14:paraId="0C16E96A" w14:textId="36D65456" w:rsidR="008F4FA7" w:rsidRPr="009D5DE3" w:rsidRDefault="008F4FA7" w:rsidP="008F4FA7">
            <w:pPr>
              <w:pStyle w:val="Caption"/>
              <w:keepNext/>
              <w:keepLines/>
              <w:jc w:val="center"/>
              <w:rPr>
                <w:rFonts w:cs="Arial"/>
                <w:sz w:val="18"/>
                <w:szCs w:val="18"/>
              </w:rPr>
            </w:pPr>
            <w:r w:rsidRPr="009D5DE3">
              <w:rPr>
                <w:sz w:val="14"/>
                <w:szCs w:val="14"/>
              </w:rPr>
              <w:t>REDACTED</w:t>
            </w:r>
          </w:p>
        </w:tc>
      </w:tr>
      <w:tr w:rsidR="008F4FA7" w:rsidRPr="00943E4B" w14:paraId="22A975EF" w14:textId="77777777" w:rsidTr="00441928">
        <w:trPr>
          <w:trHeight w:val="300"/>
          <w:jc w:val="center"/>
        </w:trPr>
        <w:tc>
          <w:tcPr>
            <w:tcW w:w="674" w:type="dxa"/>
            <w:noWrap/>
            <w:hideMark/>
          </w:tcPr>
          <w:p w14:paraId="70251931" w14:textId="61A68277" w:rsidR="008F4FA7" w:rsidRPr="00FE46B5" w:rsidRDefault="008F4FA7" w:rsidP="008F4FA7">
            <w:pPr>
              <w:pStyle w:val="Caption"/>
              <w:keepNext/>
              <w:keepLines/>
              <w:jc w:val="center"/>
              <w:rPr>
                <w:rFonts w:cs="Arial"/>
                <w:b w:val="0"/>
                <w:bCs w:val="0"/>
                <w:sz w:val="18"/>
                <w:szCs w:val="18"/>
              </w:rPr>
            </w:pPr>
            <w:r w:rsidRPr="00FE46B5">
              <w:rPr>
                <w:b w:val="0"/>
                <w:bCs w:val="0"/>
                <w:sz w:val="18"/>
                <w:szCs w:val="18"/>
              </w:rPr>
              <w:t>7</w:t>
            </w:r>
          </w:p>
        </w:tc>
        <w:tc>
          <w:tcPr>
            <w:tcW w:w="1211" w:type="dxa"/>
            <w:noWrap/>
          </w:tcPr>
          <w:p w14:paraId="5A4469EE" w14:textId="0D5770CB" w:rsidR="008F4FA7" w:rsidRPr="009D5DE3" w:rsidRDefault="008F4FA7" w:rsidP="008F4FA7">
            <w:pPr>
              <w:pStyle w:val="Caption"/>
              <w:keepNext/>
              <w:keepLines/>
              <w:jc w:val="center"/>
              <w:rPr>
                <w:rFonts w:cs="Arial"/>
                <w:sz w:val="14"/>
                <w:szCs w:val="14"/>
              </w:rPr>
            </w:pPr>
            <w:r w:rsidRPr="009D5DE3">
              <w:rPr>
                <w:sz w:val="14"/>
                <w:szCs w:val="14"/>
              </w:rPr>
              <w:t xml:space="preserve"> REDACTED </w:t>
            </w:r>
          </w:p>
        </w:tc>
        <w:tc>
          <w:tcPr>
            <w:tcW w:w="1206" w:type="dxa"/>
            <w:noWrap/>
          </w:tcPr>
          <w:p w14:paraId="0DA0B67E" w14:textId="79A4B8DF" w:rsidR="008F4FA7" w:rsidRPr="009D5DE3" w:rsidRDefault="008F4FA7" w:rsidP="008F4FA7">
            <w:pPr>
              <w:pStyle w:val="Caption"/>
              <w:keepNext/>
              <w:keepLines/>
              <w:jc w:val="center"/>
              <w:rPr>
                <w:rFonts w:cs="Arial"/>
                <w:sz w:val="14"/>
                <w:szCs w:val="14"/>
              </w:rPr>
            </w:pPr>
            <w:r w:rsidRPr="009D5DE3">
              <w:rPr>
                <w:sz w:val="14"/>
                <w:szCs w:val="14"/>
              </w:rPr>
              <w:t>REDACTED</w:t>
            </w:r>
          </w:p>
        </w:tc>
        <w:tc>
          <w:tcPr>
            <w:tcW w:w="832" w:type="dxa"/>
            <w:noWrap/>
          </w:tcPr>
          <w:p w14:paraId="6985A9E2" w14:textId="3BC1589A"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21,947 </w:t>
            </w:r>
          </w:p>
        </w:tc>
        <w:tc>
          <w:tcPr>
            <w:tcW w:w="1149" w:type="dxa"/>
            <w:noWrap/>
          </w:tcPr>
          <w:p w14:paraId="47D32016" w14:textId="1EFAECDF"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$40,280 </w:t>
            </w:r>
          </w:p>
        </w:tc>
        <w:tc>
          <w:tcPr>
            <w:tcW w:w="1305" w:type="dxa"/>
            <w:noWrap/>
          </w:tcPr>
          <w:p w14:paraId="0982D5CB" w14:textId="7E90312B"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34,676 </w:t>
            </w:r>
          </w:p>
        </w:tc>
        <w:tc>
          <w:tcPr>
            <w:tcW w:w="1088" w:type="dxa"/>
            <w:noWrap/>
          </w:tcPr>
          <w:p w14:paraId="7B509280" w14:textId="49486246" w:rsidR="008F4FA7" w:rsidRPr="009D5DE3" w:rsidRDefault="008F4FA7" w:rsidP="008F4FA7">
            <w:pPr>
              <w:pStyle w:val="Caption"/>
              <w:keepNext/>
              <w:keepLines/>
              <w:jc w:val="center"/>
              <w:rPr>
                <w:rFonts w:cs="Arial"/>
                <w:sz w:val="18"/>
                <w:szCs w:val="18"/>
              </w:rPr>
            </w:pPr>
            <w:r w:rsidRPr="009D5DE3">
              <w:rPr>
                <w:sz w:val="14"/>
                <w:szCs w:val="14"/>
              </w:rPr>
              <w:t>REDACTED</w:t>
            </w:r>
          </w:p>
        </w:tc>
        <w:tc>
          <w:tcPr>
            <w:tcW w:w="975" w:type="dxa"/>
            <w:noWrap/>
          </w:tcPr>
          <w:p w14:paraId="5D113CD2" w14:textId="437AAE62"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74,170 </w:t>
            </w:r>
          </w:p>
        </w:tc>
        <w:tc>
          <w:tcPr>
            <w:tcW w:w="1005" w:type="dxa"/>
            <w:noWrap/>
          </w:tcPr>
          <w:p w14:paraId="79573C19" w14:textId="3D47A2D8" w:rsidR="008F4FA7" w:rsidRPr="009D5DE3" w:rsidRDefault="008F4FA7" w:rsidP="008F4FA7">
            <w:pPr>
              <w:pStyle w:val="Caption"/>
              <w:keepNext/>
              <w:keepLines/>
              <w:jc w:val="center"/>
              <w:rPr>
                <w:rFonts w:cs="Arial"/>
                <w:sz w:val="18"/>
                <w:szCs w:val="18"/>
              </w:rPr>
            </w:pPr>
            <w:r w:rsidRPr="009D5DE3">
              <w:rPr>
                <w:sz w:val="14"/>
                <w:szCs w:val="14"/>
              </w:rPr>
              <w:t>REDACTED</w:t>
            </w:r>
          </w:p>
        </w:tc>
      </w:tr>
      <w:tr w:rsidR="008F4FA7" w:rsidRPr="00943E4B" w14:paraId="094938FC" w14:textId="77777777" w:rsidTr="00441928">
        <w:trPr>
          <w:trHeight w:val="300"/>
          <w:jc w:val="center"/>
        </w:trPr>
        <w:tc>
          <w:tcPr>
            <w:tcW w:w="674" w:type="dxa"/>
            <w:noWrap/>
            <w:hideMark/>
          </w:tcPr>
          <w:p w14:paraId="5A1E0633" w14:textId="39D64B3B" w:rsidR="008F4FA7" w:rsidRPr="00FE46B5" w:rsidRDefault="008F4FA7" w:rsidP="008F4FA7">
            <w:pPr>
              <w:pStyle w:val="Caption"/>
              <w:keepNext/>
              <w:keepLines/>
              <w:jc w:val="center"/>
              <w:rPr>
                <w:rFonts w:cs="Arial"/>
                <w:b w:val="0"/>
                <w:bCs w:val="0"/>
                <w:sz w:val="18"/>
                <w:szCs w:val="18"/>
              </w:rPr>
            </w:pPr>
            <w:r w:rsidRPr="00FE46B5">
              <w:rPr>
                <w:b w:val="0"/>
                <w:bCs w:val="0"/>
                <w:sz w:val="18"/>
                <w:szCs w:val="18"/>
              </w:rPr>
              <w:t>8</w:t>
            </w:r>
          </w:p>
        </w:tc>
        <w:tc>
          <w:tcPr>
            <w:tcW w:w="1211" w:type="dxa"/>
            <w:noWrap/>
          </w:tcPr>
          <w:p w14:paraId="4CE0AB18" w14:textId="3E0EA300" w:rsidR="008F4FA7" w:rsidRPr="009D5DE3" w:rsidRDefault="008F4FA7" w:rsidP="008F4FA7">
            <w:pPr>
              <w:pStyle w:val="Caption"/>
              <w:keepNext/>
              <w:keepLines/>
              <w:jc w:val="center"/>
              <w:rPr>
                <w:rFonts w:cs="Arial"/>
                <w:sz w:val="14"/>
                <w:szCs w:val="14"/>
              </w:rPr>
            </w:pPr>
            <w:r w:rsidRPr="009D5DE3">
              <w:rPr>
                <w:sz w:val="14"/>
                <w:szCs w:val="14"/>
              </w:rPr>
              <w:t xml:space="preserve"> REDACTED </w:t>
            </w:r>
          </w:p>
        </w:tc>
        <w:tc>
          <w:tcPr>
            <w:tcW w:w="1206" w:type="dxa"/>
            <w:noWrap/>
          </w:tcPr>
          <w:p w14:paraId="62108604" w14:textId="7CB79034" w:rsidR="008F4FA7" w:rsidRPr="009D5DE3" w:rsidRDefault="008F4FA7" w:rsidP="008F4FA7">
            <w:pPr>
              <w:pStyle w:val="Caption"/>
              <w:keepNext/>
              <w:keepLines/>
              <w:jc w:val="center"/>
              <w:rPr>
                <w:rFonts w:cs="Arial"/>
                <w:sz w:val="14"/>
                <w:szCs w:val="14"/>
              </w:rPr>
            </w:pPr>
            <w:r w:rsidRPr="009D5DE3">
              <w:rPr>
                <w:sz w:val="14"/>
                <w:szCs w:val="14"/>
              </w:rPr>
              <w:t>REDACTED</w:t>
            </w:r>
          </w:p>
        </w:tc>
        <w:tc>
          <w:tcPr>
            <w:tcW w:w="832" w:type="dxa"/>
            <w:noWrap/>
          </w:tcPr>
          <w:p w14:paraId="2EF2408A" w14:textId="6E9071E5"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8,512 </w:t>
            </w:r>
          </w:p>
        </w:tc>
        <w:tc>
          <w:tcPr>
            <w:tcW w:w="1149" w:type="dxa"/>
            <w:noWrap/>
          </w:tcPr>
          <w:p w14:paraId="1EA2B5FE" w14:textId="3FA462FE"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$40,280 </w:t>
            </w:r>
          </w:p>
        </w:tc>
        <w:tc>
          <w:tcPr>
            <w:tcW w:w="1305" w:type="dxa"/>
            <w:noWrap/>
          </w:tcPr>
          <w:p w14:paraId="632C8C2A" w14:textId="7D91BFE3"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20,724 </w:t>
            </w:r>
          </w:p>
        </w:tc>
        <w:tc>
          <w:tcPr>
            <w:tcW w:w="1088" w:type="dxa"/>
            <w:noWrap/>
          </w:tcPr>
          <w:p w14:paraId="3F0A1E9E" w14:textId="7FD62AD1" w:rsidR="008F4FA7" w:rsidRPr="009D5DE3" w:rsidRDefault="008F4FA7" w:rsidP="008F4FA7">
            <w:pPr>
              <w:pStyle w:val="Caption"/>
              <w:keepNext/>
              <w:keepLines/>
              <w:jc w:val="center"/>
              <w:rPr>
                <w:rFonts w:cs="Arial"/>
                <w:sz w:val="18"/>
                <w:szCs w:val="18"/>
              </w:rPr>
            </w:pPr>
            <w:r w:rsidRPr="009D5DE3">
              <w:rPr>
                <w:sz w:val="14"/>
                <w:szCs w:val="14"/>
              </w:rPr>
              <w:t>REDACTED</w:t>
            </w:r>
          </w:p>
        </w:tc>
        <w:tc>
          <w:tcPr>
            <w:tcW w:w="975" w:type="dxa"/>
            <w:noWrap/>
          </w:tcPr>
          <w:p w14:paraId="02457ACE" w14:textId="6F9E2A11"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12,133 </w:t>
            </w:r>
          </w:p>
        </w:tc>
        <w:tc>
          <w:tcPr>
            <w:tcW w:w="1005" w:type="dxa"/>
            <w:noWrap/>
          </w:tcPr>
          <w:p w14:paraId="3E84D76D" w14:textId="0BBA3463" w:rsidR="008F4FA7" w:rsidRPr="009D5DE3" w:rsidRDefault="008F4FA7" w:rsidP="008F4FA7">
            <w:pPr>
              <w:pStyle w:val="Caption"/>
              <w:keepNext/>
              <w:keepLines/>
              <w:jc w:val="center"/>
              <w:rPr>
                <w:rFonts w:cs="Arial"/>
                <w:sz w:val="18"/>
                <w:szCs w:val="18"/>
              </w:rPr>
            </w:pPr>
            <w:r w:rsidRPr="009D5DE3">
              <w:rPr>
                <w:sz w:val="14"/>
                <w:szCs w:val="14"/>
              </w:rPr>
              <w:t>REDACTED</w:t>
            </w:r>
          </w:p>
        </w:tc>
      </w:tr>
      <w:tr w:rsidR="008F4FA7" w:rsidRPr="00943E4B" w14:paraId="52B5564B" w14:textId="77777777" w:rsidTr="00441928">
        <w:trPr>
          <w:trHeight w:val="300"/>
          <w:jc w:val="center"/>
        </w:trPr>
        <w:tc>
          <w:tcPr>
            <w:tcW w:w="674" w:type="dxa"/>
            <w:noWrap/>
            <w:hideMark/>
          </w:tcPr>
          <w:p w14:paraId="591BD17E" w14:textId="35FA5BDA" w:rsidR="008F4FA7" w:rsidRPr="00FE46B5" w:rsidRDefault="008F4FA7" w:rsidP="008F4FA7">
            <w:pPr>
              <w:pStyle w:val="Caption"/>
              <w:keepNext/>
              <w:keepLines/>
              <w:jc w:val="center"/>
              <w:rPr>
                <w:rFonts w:cs="Arial"/>
                <w:b w:val="0"/>
                <w:bCs w:val="0"/>
                <w:sz w:val="18"/>
                <w:szCs w:val="18"/>
              </w:rPr>
            </w:pPr>
            <w:r w:rsidRPr="00FE46B5">
              <w:rPr>
                <w:b w:val="0"/>
                <w:bCs w:val="0"/>
                <w:sz w:val="18"/>
                <w:szCs w:val="18"/>
              </w:rPr>
              <w:t>9</w:t>
            </w:r>
          </w:p>
        </w:tc>
        <w:tc>
          <w:tcPr>
            <w:tcW w:w="1211" w:type="dxa"/>
            <w:noWrap/>
          </w:tcPr>
          <w:p w14:paraId="1B40C696" w14:textId="1FDA73AA" w:rsidR="008F4FA7" w:rsidRPr="009D5DE3" w:rsidRDefault="008F4FA7" w:rsidP="008F4FA7">
            <w:pPr>
              <w:pStyle w:val="Caption"/>
              <w:keepNext/>
              <w:keepLines/>
              <w:jc w:val="center"/>
              <w:rPr>
                <w:rFonts w:cs="Arial"/>
                <w:sz w:val="14"/>
                <w:szCs w:val="14"/>
              </w:rPr>
            </w:pPr>
            <w:r w:rsidRPr="009D5DE3">
              <w:rPr>
                <w:sz w:val="14"/>
                <w:szCs w:val="14"/>
              </w:rPr>
              <w:t xml:space="preserve"> REDACTED </w:t>
            </w:r>
          </w:p>
        </w:tc>
        <w:tc>
          <w:tcPr>
            <w:tcW w:w="1206" w:type="dxa"/>
            <w:noWrap/>
          </w:tcPr>
          <w:p w14:paraId="1F0F2CFB" w14:textId="388C194A" w:rsidR="008F4FA7" w:rsidRPr="009D5DE3" w:rsidRDefault="008F4FA7" w:rsidP="008F4FA7">
            <w:pPr>
              <w:pStyle w:val="Caption"/>
              <w:keepNext/>
              <w:keepLines/>
              <w:jc w:val="center"/>
              <w:rPr>
                <w:rFonts w:cs="Arial"/>
                <w:sz w:val="14"/>
                <w:szCs w:val="14"/>
              </w:rPr>
            </w:pPr>
            <w:r w:rsidRPr="009D5DE3">
              <w:rPr>
                <w:sz w:val="14"/>
                <w:szCs w:val="14"/>
              </w:rPr>
              <w:t>REDACTED</w:t>
            </w:r>
          </w:p>
        </w:tc>
        <w:tc>
          <w:tcPr>
            <w:tcW w:w="832" w:type="dxa"/>
            <w:noWrap/>
          </w:tcPr>
          <w:p w14:paraId="243D4D69" w14:textId="2A0DAFDE"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7,077 </w:t>
            </w:r>
          </w:p>
        </w:tc>
        <w:tc>
          <w:tcPr>
            <w:tcW w:w="1149" w:type="dxa"/>
            <w:noWrap/>
          </w:tcPr>
          <w:p w14:paraId="5ECF7FC6" w14:textId="7E8BB086"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$40,280 </w:t>
            </w:r>
          </w:p>
        </w:tc>
        <w:tc>
          <w:tcPr>
            <w:tcW w:w="1305" w:type="dxa"/>
            <w:noWrap/>
          </w:tcPr>
          <w:p w14:paraId="5965A578" w14:textId="2D0175AE"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22,566 </w:t>
            </w:r>
          </w:p>
        </w:tc>
        <w:tc>
          <w:tcPr>
            <w:tcW w:w="1088" w:type="dxa"/>
            <w:noWrap/>
          </w:tcPr>
          <w:p w14:paraId="2B89E4EE" w14:textId="5DA0A8D7" w:rsidR="008F4FA7" w:rsidRPr="009D5DE3" w:rsidRDefault="008F4FA7" w:rsidP="008F4FA7">
            <w:pPr>
              <w:pStyle w:val="Caption"/>
              <w:keepNext/>
              <w:keepLines/>
              <w:jc w:val="center"/>
              <w:rPr>
                <w:rFonts w:cs="Arial"/>
                <w:sz w:val="18"/>
                <w:szCs w:val="18"/>
              </w:rPr>
            </w:pPr>
            <w:r w:rsidRPr="009D5DE3">
              <w:rPr>
                <w:sz w:val="14"/>
                <w:szCs w:val="14"/>
              </w:rPr>
              <w:t>REDACTED</w:t>
            </w:r>
          </w:p>
        </w:tc>
        <w:tc>
          <w:tcPr>
            <w:tcW w:w="975" w:type="dxa"/>
            <w:noWrap/>
          </w:tcPr>
          <w:p w14:paraId="64204D5C" w14:textId="781CEF08"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46,828 </w:t>
            </w:r>
          </w:p>
        </w:tc>
        <w:tc>
          <w:tcPr>
            <w:tcW w:w="1005" w:type="dxa"/>
            <w:noWrap/>
          </w:tcPr>
          <w:p w14:paraId="4644A687" w14:textId="056CF832" w:rsidR="008F4FA7" w:rsidRPr="009D5DE3" w:rsidRDefault="008F4FA7" w:rsidP="008F4FA7">
            <w:pPr>
              <w:pStyle w:val="Caption"/>
              <w:keepNext/>
              <w:keepLines/>
              <w:jc w:val="center"/>
              <w:rPr>
                <w:rFonts w:cs="Arial"/>
                <w:sz w:val="18"/>
                <w:szCs w:val="18"/>
              </w:rPr>
            </w:pPr>
            <w:r w:rsidRPr="009D5DE3">
              <w:rPr>
                <w:sz w:val="14"/>
                <w:szCs w:val="14"/>
              </w:rPr>
              <w:t>REDACTED</w:t>
            </w:r>
          </w:p>
        </w:tc>
      </w:tr>
      <w:tr w:rsidR="008F4FA7" w:rsidRPr="00943E4B" w14:paraId="530532C7" w14:textId="77777777" w:rsidTr="00441928">
        <w:trPr>
          <w:trHeight w:val="300"/>
          <w:jc w:val="center"/>
        </w:trPr>
        <w:tc>
          <w:tcPr>
            <w:tcW w:w="674" w:type="dxa"/>
            <w:noWrap/>
            <w:hideMark/>
          </w:tcPr>
          <w:p w14:paraId="11BC5F81" w14:textId="33C8E7C2" w:rsidR="008F4FA7" w:rsidRPr="00FE46B5" w:rsidRDefault="008F4FA7" w:rsidP="008F4FA7">
            <w:pPr>
              <w:pStyle w:val="Caption"/>
              <w:keepNext/>
              <w:keepLines/>
              <w:jc w:val="center"/>
              <w:rPr>
                <w:rFonts w:cs="Arial"/>
                <w:b w:val="0"/>
                <w:bCs w:val="0"/>
                <w:sz w:val="18"/>
                <w:szCs w:val="18"/>
              </w:rPr>
            </w:pPr>
            <w:r w:rsidRPr="00FE46B5">
              <w:rPr>
                <w:b w:val="0"/>
                <w:bCs w:val="0"/>
                <w:sz w:val="18"/>
                <w:szCs w:val="18"/>
              </w:rPr>
              <w:t>10</w:t>
            </w:r>
          </w:p>
        </w:tc>
        <w:tc>
          <w:tcPr>
            <w:tcW w:w="1211" w:type="dxa"/>
            <w:noWrap/>
          </w:tcPr>
          <w:p w14:paraId="02A88CB1" w14:textId="57E52ADE" w:rsidR="008F4FA7" w:rsidRPr="009D5DE3" w:rsidRDefault="008F4FA7" w:rsidP="008F4FA7">
            <w:pPr>
              <w:pStyle w:val="Caption"/>
              <w:keepNext/>
              <w:keepLines/>
              <w:jc w:val="center"/>
              <w:rPr>
                <w:rFonts w:cs="Arial"/>
                <w:sz w:val="14"/>
                <w:szCs w:val="14"/>
              </w:rPr>
            </w:pPr>
            <w:r w:rsidRPr="009D5DE3">
              <w:rPr>
                <w:sz w:val="14"/>
                <w:szCs w:val="14"/>
              </w:rPr>
              <w:t xml:space="preserve"> REDACTED </w:t>
            </w:r>
          </w:p>
        </w:tc>
        <w:tc>
          <w:tcPr>
            <w:tcW w:w="1206" w:type="dxa"/>
            <w:noWrap/>
          </w:tcPr>
          <w:p w14:paraId="172A17F4" w14:textId="5E697461" w:rsidR="008F4FA7" w:rsidRPr="009D5DE3" w:rsidRDefault="008F4FA7" w:rsidP="008F4FA7">
            <w:pPr>
              <w:pStyle w:val="Caption"/>
              <w:keepNext/>
              <w:keepLines/>
              <w:jc w:val="center"/>
              <w:rPr>
                <w:rFonts w:cs="Arial"/>
                <w:sz w:val="14"/>
                <w:szCs w:val="14"/>
              </w:rPr>
            </w:pPr>
            <w:r w:rsidRPr="009D5DE3">
              <w:rPr>
                <w:sz w:val="14"/>
                <w:szCs w:val="14"/>
              </w:rPr>
              <w:t>REDACTED</w:t>
            </w:r>
          </w:p>
        </w:tc>
        <w:tc>
          <w:tcPr>
            <w:tcW w:w="832" w:type="dxa"/>
            <w:noWrap/>
          </w:tcPr>
          <w:p w14:paraId="44E5A137" w14:textId="6F339BBA"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7,076 </w:t>
            </w:r>
          </w:p>
        </w:tc>
        <w:tc>
          <w:tcPr>
            <w:tcW w:w="1149" w:type="dxa"/>
            <w:noWrap/>
          </w:tcPr>
          <w:p w14:paraId="3866A6F4" w14:textId="17E335C0"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$40,280 </w:t>
            </w:r>
          </w:p>
        </w:tc>
        <w:tc>
          <w:tcPr>
            <w:tcW w:w="1305" w:type="dxa"/>
            <w:noWrap/>
          </w:tcPr>
          <w:p w14:paraId="551FAEAA" w14:textId="2AFE3C1E"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17,683 </w:t>
            </w:r>
          </w:p>
        </w:tc>
        <w:tc>
          <w:tcPr>
            <w:tcW w:w="1088" w:type="dxa"/>
            <w:noWrap/>
          </w:tcPr>
          <w:p w14:paraId="3B7C894C" w14:textId="261C1E3B" w:rsidR="008F4FA7" w:rsidRPr="009D5DE3" w:rsidRDefault="008F4FA7" w:rsidP="008F4FA7">
            <w:pPr>
              <w:pStyle w:val="Caption"/>
              <w:keepNext/>
              <w:keepLines/>
              <w:jc w:val="center"/>
              <w:rPr>
                <w:rFonts w:cs="Arial"/>
                <w:sz w:val="18"/>
                <w:szCs w:val="18"/>
              </w:rPr>
            </w:pPr>
            <w:r w:rsidRPr="009D5DE3">
              <w:rPr>
                <w:sz w:val="14"/>
                <w:szCs w:val="14"/>
              </w:rPr>
              <w:t>REDACTED</w:t>
            </w:r>
          </w:p>
        </w:tc>
        <w:tc>
          <w:tcPr>
            <w:tcW w:w="975" w:type="dxa"/>
            <w:noWrap/>
          </w:tcPr>
          <w:p w14:paraId="33AC04C6" w14:textId="3025CB36" w:rsidR="008F4FA7" w:rsidRPr="0097702D" w:rsidRDefault="008F4FA7" w:rsidP="008F4FA7">
            <w:pPr>
              <w:pStyle w:val="Caption"/>
              <w:keepNext/>
              <w:keepLines/>
              <w:jc w:val="center"/>
              <w:rPr>
                <w:rFonts w:cs="Arial"/>
                <w:b w:val="0"/>
                <w:bCs w:val="0"/>
                <w:sz w:val="18"/>
                <w:szCs w:val="18"/>
              </w:rPr>
            </w:pPr>
            <w:r w:rsidRPr="0097702D">
              <w:rPr>
                <w:b w:val="0"/>
                <w:bCs w:val="0"/>
                <w:sz w:val="18"/>
                <w:szCs w:val="18"/>
              </w:rPr>
              <w:t xml:space="preserve"> 12,915 </w:t>
            </w:r>
          </w:p>
        </w:tc>
        <w:tc>
          <w:tcPr>
            <w:tcW w:w="1005" w:type="dxa"/>
            <w:noWrap/>
          </w:tcPr>
          <w:p w14:paraId="693FE370" w14:textId="2FDBD904" w:rsidR="008F4FA7" w:rsidRPr="009D5DE3" w:rsidRDefault="008F4FA7" w:rsidP="008F4FA7">
            <w:pPr>
              <w:pStyle w:val="Caption"/>
              <w:keepNext/>
              <w:keepLines/>
              <w:jc w:val="center"/>
              <w:rPr>
                <w:rFonts w:cs="Arial"/>
                <w:sz w:val="18"/>
                <w:szCs w:val="18"/>
              </w:rPr>
            </w:pPr>
            <w:r w:rsidRPr="009D5DE3">
              <w:rPr>
                <w:sz w:val="14"/>
                <w:szCs w:val="14"/>
              </w:rPr>
              <w:t>REDACTED</w:t>
            </w:r>
          </w:p>
        </w:tc>
      </w:tr>
    </w:tbl>
    <w:p w14:paraId="597E6207" w14:textId="77777777" w:rsidR="007B4DAA" w:rsidRDefault="007B4DAA" w:rsidP="007B4DAA"/>
    <w:p w14:paraId="4EE232B3" w14:textId="77777777" w:rsidR="00FE46B5" w:rsidRDefault="00FE46B5" w:rsidP="007B4DAA"/>
    <w:p w14:paraId="1C5780A6" w14:textId="77777777" w:rsidR="00FE46B5" w:rsidRDefault="00FE46B5" w:rsidP="007B4DAA"/>
    <w:p w14:paraId="07DB532D" w14:textId="77777777" w:rsidR="00FE46B5" w:rsidRDefault="00FE46B5" w:rsidP="007B4DAA"/>
    <w:p w14:paraId="5B468B05" w14:textId="77777777" w:rsidR="00FE46B5" w:rsidRDefault="00FE46B5" w:rsidP="007B4DAA"/>
    <w:p w14:paraId="1C4161D6" w14:textId="77777777" w:rsidR="00FE46B5" w:rsidRDefault="00FE46B5" w:rsidP="007B4DAA"/>
    <w:p w14:paraId="0407017E" w14:textId="77777777" w:rsidR="00FE46B5" w:rsidRDefault="00FE46B5" w:rsidP="007B4DAA"/>
    <w:p w14:paraId="18BBE169" w14:textId="77777777" w:rsidR="00FE46B5" w:rsidRDefault="00FE46B5" w:rsidP="007B4DAA"/>
    <w:p w14:paraId="60838D0B" w14:textId="26C13210" w:rsidR="00877D9E" w:rsidRPr="00943E4B" w:rsidRDefault="00877D9E" w:rsidP="00877D9E">
      <w:pPr>
        <w:pStyle w:val="Caption"/>
        <w:keepNext/>
      </w:pPr>
      <w:bookmarkStart w:id="314" w:name="_Ref513786050"/>
      <w:bookmarkStart w:id="315" w:name="_Toc513710541"/>
      <w:bookmarkStart w:id="316" w:name="_Toc187234649"/>
      <w:r w:rsidRPr="00943E4B">
        <w:t xml:space="preserve">Table </w:t>
      </w:r>
      <w:r w:rsidR="00161C58" w:rsidRPr="00943E4B">
        <w:fldChar w:fldCharType="begin"/>
      </w:r>
      <w:r w:rsidR="00161C58" w:rsidRPr="00943E4B">
        <w:instrText xml:space="preserve"> STYLEREF 1 \s </w:instrText>
      </w:r>
      <w:r w:rsidR="00161C58" w:rsidRPr="00943E4B">
        <w:fldChar w:fldCharType="separate"/>
      </w:r>
      <w:r w:rsidR="00161C58">
        <w:rPr>
          <w:noProof/>
        </w:rPr>
        <w:t>II</w:t>
      </w:r>
      <w:r w:rsidR="00161C58" w:rsidRPr="00943E4B">
        <w:rPr>
          <w:noProof/>
        </w:rPr>
        <w:fldChar w:fldCharType="end"/>
      </w:r>
      <w:r w:rsidR="00922797" w:rsidRPr="00943E4B">
        <w:noBreakHyphen/>
      </w:r>
      <w:r w:rsidR="00161C58" w:rsidRPr="00943E4B">
        <w:fldChar w:fldCharType="begin"/>
      </w:r>
      <w:r w:rsidR="00161C58" w:rsidRPr="00943E4B">
        <w:instrText xml:space="preserve"> SEQ Table \* ARABIC \s 1 </w:instrText>
      </w:r>
      <w:r w:rsidR="00161C58" w:rsidRPr="00943E4B">
        <w:fldChar w:fldCharType="separate"/>
      </w:r>
      <w:r w:rsidR="00095413">
        <w:rPr>
          <w:noProof/>
        </w:rPr>
        <w:t>5</w:t>
      </w:r>
      <w:r w:rsidR="00161C58" w:rsidRPr="00943E4B">
        <w:rPr>
          <w:noProof/>
        </w:rPr>
        <w:fldChar w:fldCharType="end"/>
      </w:r>
      <w:bookmarkEnd w:id="314"/>
      <w:r w:rsidRPr="00943E4B">
        <w:t>. Worst Reliability Costs Weighted Probability</w:t>
      </w:r>
      <w:bookmarkEnd w:id="315"/>
      <w:bookmarkEnd w:id="316"/>
    </w:p>
    <w:tbl>
      <w:tblPr>
        <w:tblStyle w:val="TableGrid"/>
        <w:tblW w:w="0" w:type="auto"/>
        <w:jc w:val="center"/>
        <w:tblLook w:val="04A0" w:firstRow="1" w:lastRow="0" w:firstColumn="1" w:lastColumn="0" w:noHBand="0" w:noVBand="1"/>
      </w:tblPr>
      <w:tblGrid>
        <w:gridCol w:w="800"/>
        <w:gridCol w:w="1265"/>
        <w:gridCol w:w="1350"/>
        <w:gridCol w:w="1080"/>
        <w:gridCol w:w="1260"/>
        <w:gridCol w:w="1144"/>
        <w:gridCol w:w="1264"/>
        <w:gridCol w:w="1187"/>
      </w:tblGrid>
      <w:tr w:rsidR="00FE46B5" w:rsidRPr="00FE46B5" w14:paraId="2E6110BE" w14:textId="77777777" w:rsidTr="00441928">
        <w:trPr>
          <w:trHeight w:val="863"/>
          <w:jc w:val="center"/>
        </w:trPr>
        <w:tc>
          <w:tcPr>
            <w:tcW w:w="800" w:type="dxa"/>
            <w:hideMark/>
          </w:tcPr>
          <w:p w14:paraId="31C6CB6B" w14:textId="4D338C70"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Data Set</w:t>
            </w:r>
          </w:p>
        </w:tc>
        <w:tc>
          <w:tcPr>
            <w:tcW w:w="1265" w:type="dxa"/>
            <w:hideMark/>
          </w:tcPr>
          <w:p w14:paraId="32769B58" w14:textId="7BE265E9"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Probability</w:t>
            </w:r>
          </w:p>
        </w:tc>
        <w:tc>
          <w:tcPr>
            <w:tcW w:w="1350" w:type="dxa"/>
            <w:hideMark/>
          </w:tcPr>
          <w:p w14:paraId="0B323FC9" w14:textId="58EC304F"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Emergency Purchases (M$)</w:t>
            </w:r>
          </w:p>
        </w:tc>
        <w:tc>
          <w:tcPr>
            <w:tcW w:w="1080" w:type="dxa"/>
            <w:hideMark/>
          </w:tcPr>
          <w:p w14:paraId="21C5BA11" w14:textId="213D1BBA"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EUE (M$)</w:t>
            </w:r>
          </w:p>
        </w:tc>
        <w:tc>
          <w:tcPr>
            <w:tcW w:w="1260" w:type="dxa"/>
            <w:hideMark/>
          </w:tcPr>
          <w:p w14:paraId="397FF2EC" w14:textId="59A3F6BD"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Demand Response Calls (M$)</w:t>
            </w:r>
          </w:p>
        </w:tc>
        <w:tc>
          <w:tcPr>
            <w:tcW w:w="1144" w:type="dxa"/>
            <w:hideMark/>
          </w:tcPr>
          <w:p w14:paraId="7C970BEA" w14:textId="6275CA36"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 xml:space="preserve">Loss of </w:t>
            </w:r>
            <w:r w:rsidR="003A3681" w:rsidRPr="00FE46B5">
              <w:rPr>
                <w:rFonts w:asciiTheme="majorHAnsi" w:hAnsiTheme="majorHAnsi" w:cstheme="majorHAnsi"/>
                <w:b/>
                <w:bCs/>
                <w:sz w:val="18"/>
                <w:szCs w:val="18"/>
              </w:rPr>
              <w:t>Non-Spin</w:t>
            </w:r>
            <w:r w:rsidRPr="00FE46B5">
              <w:rPr>
                <w:rFonts w:asciiTheme="majorHAnsi" w:hAnsiTheme="majorHAnsi" w:cstheme="majorHAnsi"/>
                <w:b/>
                <w:bCs/>
                <w:sz w:val="18"/>
                <w:szCs w:val="18"/>
              </w:rPr>
              <w:t xml:space="preserve"> (M$)</w:t>
            </w:r>
          </w:p>
        </w:tc>
        <w:tc>
          <w:tcPr>
            <w:tcW w:w="1264" w:type="dxa"/>
            <w:hideMark/>
          </w:tcPr>
          <w:p w14:paraId="49B11B73" w14:textId="0BF73E2F"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Total Reliability Cost (M$)</w:t>
            </w:r>
          </w:p>
        </w:tc>
        <w:tc>
          <w:tcPr>
            <w:tcW w:w="1187" w:type="dxa"/>
            <w:hideMark/>
          </w:tcPr>
          <w:p w14:paraId="2A76E5F7" w14:textId="11E8AA0F"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Weighted Reliability Cost</w:t>
            </w:r>
          </w:p>
        </w:tc>
      </w:tr>
      <w:tr w:rsidR="008F4FA7" w:rsidRPr="00943E4B" w14:paraId="13D54BC1" w14:textId="77777777" w:rsidTr="00855F03">
        <w:trPr>
          <w:trHeight w:val="300"/>
          <w:jc w:val="center"/>
        </w:trPr>
        <w:tc>
          <w:tcPr>
            <w:tcW w:w="800" w:type="dxa"/>
            <w:noWrap/>
            <w:vAlign w:val="center"/>
            <w:hideMark/>
          </w:tcPr>
          <w:p w14:paraId="5CCC24F6" w14:textId="52EA9792"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1</w:t>
            </w:r>
          </w:p>
        </w:tc>
        <w:tc>
          <w:tcPr>
            <w:tcW w:w="12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B2C657" w14:textId="3BB6ED8C" w:rsidR="008F4FA7" w:rsidRPr="0097702D" w:rsidRDefault="008F4FA7" w:rsidP="008F4FA7">
            <w:pPr>
              <w:jc w:val="center"/>
              <w:rPr>
                <w:rFonts w:asciiTheme="majorHAnsi" w:hAnsiTheme="majorHAnsi" w:cstheme="majorHAnsi"/>
                <w:sz w:val="18"/>
                <w:szCs w:val="18"/>
              </w:rPr>
            </w:pPr>
            <w:r w:rsidRPr="0097702D">
              <w:rPr>
                <w:sz w:val="18"/>
                <w:szCs w:val="18"/>
              </w:rPr>
              <w:t>0.002222</w:t>
            </w:r>
          </w:p>
        </w:tc>
        <w:tc>
          <w:tcPr>
            <w:tcW w:w="1350" w:type="dxa"/>
            <w:noWrap/>
          </w:tcPr>
          <w:p w14:paraId="4B6FAA55" w14:textId="3AA79AB4" w:rsidR="008F4FA7" w:rsidRPr="0097702D" w:rsidRDefault="008F4FA7" w:rsidP="008F4FA7">
            <w:pPr>
              <w:jc w:val="center"/>
              <w:rPr>
                <w:rFonts w:asciiTheme="majorHAnsi" w:hAnsiTheme="majorHAnsi" w:cstheme="majorHAnsi"/>
                <w:sz w:val="18"/>
                <w:szCs w:val="18"/>
              </w:rPr>
            </w:pPr>
            <w:r w:rsidRPr="00CB4268">
              <w:rPr>
                <w:b/>
                <w:bCs/>
                <w:sz w:val="14"/>
                <w:szCs w:val="14"/>
              </w:rPr>
              <w:t>REDACTED</w:t>
            </w:r>
          </w:p>
        </w:tc>
        <w:tc>
          <w:tcPr>
            <w:tcW w:w="1080" w:type="dxa"/>
            <w:noWrap/>
            <w:vAlign w:val="center"/>
          </w:tcPr>
          <w:p w14:paraId="15E65799" w14:textId="62E598CB" w:rsidR="008F4FA7" w:rsidRPr="0097702D" w:rsidRDefault="008F4FA7" w:rsidP="008F4FA7">
            <w:pPr>
              <w:jc w:val="center"/>
              <w:rPr>
                <w:rFonts w:asciiTheme="majorHAnsi" w:hAnsiTheme="majorHAnsi" w:cstheme="majorHAnsi"/>
                <w:sz w:val="18"/>
                <w:szCs w:val="18"/>
              </w:rPr>
            </w:pPr>
            <w:r w:rsidRPr="0097702D">
              <w:rPr>
                <w:sz w:val="18"/>
                <w:szCs w:val="18"/>
              </w:rPr>
              <w:t>1,667.10</w:t>
            </w:r>
          </w:p>
        </w:tc>
        <w:tc>
          <w:tcPr>
            <w:tcW w:w="1260" w:type="dxa"/>
            <w:noWrap/>
          </w:tcPr>
          <w:p w14:paraId="40BB3E75" w14:textId="5169DA97"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44" w:type="dxa"/>
            <w:noWrap/>
          </w:tcPr>
          <w:p w14:paraId="6A57D8FB" w14:textId="23389A4A"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264" w:type="dxa"/>
            <w:noWrap/>
          </w:tcPr>
          <w:p w14:paraId="472C0427" w14:textId="4B49BB42"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87" w:type="dxa"/>
            <w:noWrap/>
          </w:tcPr>
          <w:p w14:paraId="7EA82661" w14:textId="332434B6"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r>
      <w:tr w:rsidR="008F4FA7" w:rsidRPr="00943E4B" w14:paraId="3D65EAF2" w14:textId="77777777" w:rsidTr="00855F03">
        <w:trPr>
          <w:trHeight w:val="300"/>
          <w:jc w:val="center"/>
        </w:trPr>
        <w:tc>
          <w:tcPr>
            <w:tcW w:w="800" w:type="dxa"/>
            <w:noWrap/>
            <w:vAlign w:val="center"/>
            <w:hideMark/>
          </w:tcPr>
          <w:p w14:paraId="78C7EFF8" w14:textId="258B9E13"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2</w:t>
            </w:r>
          </w:p>
        </w:tc>
        <w:tc>
          <w:tcPr>
            <w:tcW w:w="1265" w:type="dxa"/>
            <w:tcBorders>
              <w:top w:val="nil"/>
              <w:left w:val="single" w:sz="4" w:space="0" w:color="auto"/>
              <w:bottom w:val="single" w:sz="4" w:space="0" w:color="auto"/>
              <w:right w:val="single" w:sz="4" w:space="0" w:color="auto"/>
            </w:tcBorders>
            <w:shd w:val="clear" w:color="auto" w:fill="auto"/>
            <w:noWrap/>
            <w:vAlign w:val="center"/>
            <w:hideMark/>
          </w:tcPr>
          <w:p w14:paraId="294DFA87" w14:textId="328804F4" w:rsidR="008F4FA7" w:rsidRPr="0097702D" w:rsidRDefault="008F4FA7" w:rsidP="008F4FA7">
            <w:pPr>
              <w:jc w:val="center"/>
              <w:rPr>
                <w:rFonts w:asciiTheme="majorHAnsi" w:hAnsiTheme="majorHAnsi" w:cstheme="majorHAnsi"/>
                <w:sz w:val="18"/>
                <w:szCs w:val="18"/>
              </w:rPr>
            </w:pPr>
            <w:r w:rsidRPr="0097702D">
              <w:rPr>
                <w:sz w:val="18"/>
                <w:szCs w:val="18"/>
              </w:rPr>
              <w:t>0.001101</w:t>
            </w:r>
          </w:p>
        </w:tc>
        <w:tc>
          <w:tcPr>
            <w:tcW w:w="1350" w:type="dxa"/>
            <w:noWrap/>
          </w:tcPr>
          <w:p w14:paraId="2F90C338" w14:textId="120F5B46" w:rsidR="008F4FA7" w:rsidRPr="0097702D" w:rsidRDefault="008F4FA7" w:rsidP="008F4FA7">
            <w:pPr>
              <w:jc w:val="center"/>
              <w:rPr>
                <w:rFonts w:asciiTheme="majorHAnsi" w:hAnsiTheme="majorHAnsi" w:cstheme="majorHAnsi"/>
                <w:sz w:val="18"/>
                <w:szCs w:val="18"/>
              </w:rPr>
            </w:pPr>
            <w:r w:rsidRPr="00CB4268">
              <w:rPr>
                <w:b/>
                <w:bCs/>
                <w:sz w:val="14"/>
                <w:szCs w:val="14"/>
              </w:rPr>
              <w:t>REDACTED</w:t>
            </w:r>
          </w:p>
        </w:tc>
        <w:tc>
          <w:tcPr>
            <w:tcW w:w="1080" w:type="dxa"/>
            <w:noWrap/>
            <w:vAlign w:val="center"/>
          </w:tcPr>
          <w:p w14:paraId="5F9DFB55" w14:textId="388D8E24" w:rsidR="008F4FA7" w:rsidRPr="0097702D" w:rsidRDefault="008F4FA7" w:rsidP="008F4FA7">
            <w:pPr>
              <w:jc w:val="center"/>
              <w:rPr>
                <w:rFonts w:asciiTheme="majorHAnsi" w:hAnsiTheme="majorHAnsi" w:cstheme="majorHAnsi"/>
                <w:sz w:val="18"/>
                <w:szCs w:val="18"/>
              </w:rPr>
            </w:pPr>
            <w:r w:rsidRPr="0097702D">
              <w:rPr>
                <w:sz w:val="18"/>
                <w:szCs w:val="18"/>
              </w:rPr>
              <w:t>1,367.86</w:t>
            </w:r>
          </w:p>
        </w:tc>
        <w:tc>
          <w:tcPr>
            <w:tcW w:w="1260" w:type="dxa"/>
            <w:noWrap/>
          </w:tcPr>
          <w:p w14:paraId="4ABFCA5D" w14:textId="73AAD508"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44" w:type="dxa"/>
            <w:noWrap/>
          </w:tcPr>
          <w:p w14:paraId="3AC32D7F" w14:textId="54D4C4F3"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264" w:type="dxa"/>
            <w:noWrap/>
          </w:tcPr>
          <w:p w14:paraId="6CB54790" w14:textId="61BAB341"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87" w:type="dxa"/>
            <w:noWrap/>
          </w:tcPr>
          <w:p w14:paraId="018744C5" w14:textId="1B4C5E63"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r>
      <w:tr w:rsidR="008F4FA7" w:rsidRPr="00943E4B" w14:paraId="08AE96F9" w14:textId="77777777" w:rsidTr="00855F03">
        <w:trPr>
          <w:trHeight w:val="300"/>
          <w:jc w:val="center"/>
        </w:trPr>
        <w:tc>
          <w:tcPr>
            <w:tcW w:w="800" w:type="dxa"/>
            <w:noWrap/>
            <w:vAlign w:val="center"/>
            <w:hideMark/>
          </w:tcPr>
          <w:p w14:paraId="09F3144B" w14:textId="5A008EAA"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3</w:t>
            </w:r>
          </w:p>
        </w:tc>
        <w:tc>
          <w:tcPr>
            <w:tcW w:w="1265" w:type="dxa"/>
            <w:tcBorders>
              <w:top w:val="nil"/>
              <w:left w:val="single" w:sz="4" w:space="0" w:color="auto"/>
              <w:bottom w:val="single" w:sz="4" w:space="0" w:color="auto"/>
              <w:right w:val="single" w:sz="4" w:space="0" w:color="auto"/>
            </w:tcBorders>
            <w:shd w:val="clear" w:color="auto" w:fill="auto"/>
            <w:noWrap/>
            <w:vAlign w:val="center"/>
            <w:hideMark/>
          </w:tcPr>
          <w:p w14:paraId="4D5E4009" w14:textId="79C4E3F1" w:rsidR="008F4FA7" w:rsidRPr="0097702D" w:rsidRDefault="008F4FA7" w:rsidP="008F4FA7">
            <w:pPr>
              <w:jc w:val="center"/>
              <w:rPr>
                <w:rFonts w:asciiTheme="majorHAnsi" w:hAnsiTheme="majorHAnsi" w:cstheme="majorHAnsi"/>
                <w:sz w:val="18"/>
                <w:szCs w:val="18"/>
              </w:rPr>
            </w:pPr>
            <w:r w:rsidRPr="0097702D">
              <w:rPr>
                <w:sz w:val="18"/>
                <w:szCs w:val="18"/>
              </w:rPr>
              <w:t>0.003333</w:t>
            </w:r>
          </w:p>
        </w:tc>
        <w:tc>
          <w:tcPr>
            <w:tcW w:w="1350" w:type="dxa"/>
            <w:noWrap/>
          </w:tcPr>
          <w:p w14:paraId="33CB7B5A" w14:textId="4CB75BED" w:rsidR="008F4FA7" w:rsidRPr="0097702D" w:rsidRDefault="008F4FA7" w:rsidP="008F4FA7">
            <w:pPr>
              <w:jc w:val="center"/>
              <w:rPr>
                <w:rFonts w:asciiTheme="majorHAnsi" w:hAnsiTheme="majorHAnsi" w:cstheme="majorHAnsi"/>
                <w:sz w:val="18"/>
                <w:szCs w:val="18"/>
              </w:rPr>
            </w:pPr>
            <w:r w:rsidRPr="00CB4268">
              <w:rPr>
                <w:b/>
                <w:bCs/>
                <w:sz w:val="14"/>
                <w:szCs w:val="14"/>
              </w:rPr>
              <w:t>REDACTED</w:t>
            </w:r>
          </w:p>
        </w:tc>
        <w:tc>
          <w:tcPr>
            <w:tcW w:w="1080" w:type="dxa"/>
            <w:noWrap/>
            <w:vAlign w:val="center"/>
          </w:tcPr>
          <w:p w14:paraId="2047FC9F" w14:textId="4DE1B9BD" w:rsidR="008F4FA7" w:rsidRPr="0097702D" w:rsidRDefault="008F4FA7" w:rsidP="008F4FA7">
            <w:pPr>
              <w:jc w:val="center"/>
              <w:rPr>
                <w:rFonts w:asciiTheme="majorHAnsi" w:hAnsiTheme="majorHAnsi" w:cstheme="majorHAnsi"/>
                <w:sz w:val="18"/>
                <w:szCs w:val="18"/>
              </w:rPr>
            </w:pPr>
            <w:r w:rsidRPr="0097702D">
              <w:rPr>
                <w:sz w:val="18"/>
                <w:szCs w:val="18"/>
              </w:rPr>
              <w:t>2,505.66</w:t>
            </w:r>
          </w:p>
        </w:tc>
        <w:tc>
          <w:tcPr>
            <w:tcW w:w="1260" w:type="dxa"/>
            <w:noWrap/>
          </w:tcPr>
          <w:p w14:paraId="04B319D6" w14:textId="63C9838A"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44" w:type="dxa"/>
            <w:noWrap/>
          </w:tcPr>
          <w:p w14:paraId="65F2D173" w14:textId="3B6E7EEE"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264" w:type="dxa"/>
            <w:noWrap/>
          </w:tcPr>
          <w:p w14:paraId="2F5A1726" w14:textId="6D4C44DC"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87" w:type="dxa"/>
            <w:noWrap/>
          </w:tcPr>
          <w:p w14:paraId="2E36D5A3" w14:textId="7C51D969"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r>
      <w:tr w:rsidR="008F4FA7" w:rsidRPr="00943E4B" w14:paraId="0565A16B" w14:textId="77777777" w:rsidTr="00855F03">
        <w:trPr>
          <w:trHeight w:val="300"/>
          <w:jc w:val="center"/>
        </w:trPr>
        <w:tc>
          <w:tcPr>
            <w:tcW w:w="800" w:type="dxa"/>
            <w:noWrap/>
            <w:vAlign w:val="center"/>
            <w:hideMark/>
          </w:tcPr>
          <w:p w14:paraId="2CE2903F" w14:textId="2C5BB6CA"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4</w:t>
            </w:r>
          </w:p>
        </w:tc>
        <w:tc>
          <w:tcPr>
            <w:tcW w:w="1265" w:type="dxa"/>
            <w:tcBorders>
              <w:top w:val="nil"/>
              <w:left w:val="single" w:sz="4" w:space="0" w:color="auto"/>
              <w:bottom w:val="single" w:sz="4" w:space="0" w:color="auto"/>
              <w:right w:val="single" w:sz="4" w:space="0" w:color="auto"/>
            </w:tcBorders>
            <w:shd w:val="clear" w:color="auto" w:fill="auto"/>
            <w:noWrap/>
            <w:vAlign w:val="center"/>
            <w:hideMark/>
          </w:tcPr>
          <w:p w14:paraId="0AC486CC" w14:textId="4F976509" w:rsidR="008F4FA7" w:rsidRPr="0097702D" w:rsidRDefault="008F4FA7" w:rsidP="008F4FA7">
            <w:pPr>
              <w:jc w:val="center"/>
              <w:rPr>
                <w:rFonts w:asciiTheme="majorHAnsi" w:hAnsiTheme="majorHAnsi" w:cstheme="majorHAnsi"/>
                <w:sz w:val="18"/>
                <w:szCs w:val="18"/>
              </w:rPr>
            </w:pPr>
            <w:r w:rsidRPr="0097702D">
              <w:rPr>
                <w:sz w:val="18"/>
                <w:szCs w:val="18"/>
              </w:rPr>
              <w:t>0.002222</w:t>
            </w:r>
          </w:p>
        </w:tc>
        <w:tc>
          <w:tcPr>
            <w:tcW w:w="1350" w:type="dxa"/>
            <w:noWrap/>
          </w:tcPr>
          <w:p w14:paraId="307405A5" w14:textId="2B5C6657" w:rsidR="008F4FA7" w:rsidRPr="0097702D" w:rsidRDefault="008F4FA7" w:rsidP="008F4FA7">
            <w:pPr>
              <w:jc w:val="center"/>
              <w:rPr>
                <w:rFonts w:asciiTheme="majorHAnsi" w:hAnsiTheme="majorHAnsi" w:cstheme="majorHAnsi"/>
                <w:sz w:val="18"/>
                <w:szCs w:val="18"/>
              </w:rPr>
            </w:pPr>
            <w:r w:rsidRPr="00CB4268">
              <w:rPr>
                <w:b/>
                <w:bCs/>
                <w:sz w:val="14"/>
                <w:szCs w:val="14"/>
              </w:rPr>
              <w:t>REDACTED</w:t>
            </w:r>
          </w:p>
        </w:tc>
        <w:tc>
          <w:tcPr>
            <w:tcW w:w="1080" w:type="dxa"/>
            <w:noWrap/>
            <w:vAlign w:val="center"/>
          </w:tcPr>
          <w:p w14:paraId="6E0953FE" w14:textId="413858E2" w:rsidR="008F4FA7" w:rsidRPr="0097702D" w:rsidRDefault="008F4FA7" w:rsidP="008F4FA7">
            <w:pPr>
              <w:jc w:val="center"/>
              <w:rPr>
                <w:rFonts w:asciiTheme="majorHAnsi" w:hAnsiTheme="majorHAnsi" w:cstheme="majorHAnsi"/>
                <w:sz w:val="18"/>
                <w:szCs w:val="18"/>
              </w:rPr>
            </w:pPr>
            <w:r w:rsidRPr="0097702D">
              <w:rPr>
                <w:sz w:val="18"/>
                <w:szCs w:val="18"/>
              </w:rPr>
              <w:t>807.10</w:t>
            </w:r>
          </w:p>
        </w:tc>
        <w:tc>
          <w:tcPr>
            <w:tcW w:w="1260" w:type="dxa"/>
            <w:noWrap/>
          </w:tcPr>
          <w:p w14:paraId="76E83B4B" w14:textId="4DB1F89C"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44" w:type="dxa"/>
            <w:noWrap/>
          </w:tcPr>
          <w:p w14:paraId="4637AE8C" w14:textId="6AA1F0F0"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264" w:type="dxa"/>
            <w:noWrap/>
          </w:tcPr>
          <w:p w14:paraId="613005E7" w14:textId="2648B4CA"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87" w:type="dxa"/>
            <w:noWrap/>
          </w:tcPr>
          <w:p w14:paraId="0A5F4EFB" w14:textId="274727F6"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r>
      <w:tr w:rsidR="008F4FA7" w:rsidRPr="00943E4B" w14:paraId="269E23EB" w14:textId="77777777" w:rsidTr="00855F03">
        <w:trPr>
          <w:trHeight w:val="300"/>
          <w:jc w:val="center"/>
        </w:trPr>
        <w:tc>
          <w:tcPr>
            <w:tcW w:w="800" w:type="dxa"/>
            <w:noWrap/>
            <w:vAlign w:val="center"/>
            <w:hideMark/>
          </w:tcPr>
          <w:p w14:paraId="26EE3C1F" w14:textId="4A09727C"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5</w:t>
            </w:r>
          </w:p>
        </w:tc>
        <w:tc>
          <w:tcPr>
            <w:tcW w:w="1265" w:type="dxa"/>
            <w:tcBorders>
              <w:top w:val="nil"/>
              <w:left w:val="single" w:sz="4" w:space="0" w:color="auto"/>
              <w:bottom w:val="single" w:sz="4" w:space="0" w:color="auto"/>
              <w:right w:val="single" w:sz="4" w:space="0" w:color="auto"/>
            </w:tcBorders>
            <w:shd w:val="clear" w:color="auto" w:fill="auto"/>
            <w:noWrap/>
            <w:vAlign w:val="center"/>
            <w:hideMark/>
          </w:tcPr>
          <w:p w14:paraId="1C853839" w14:textId="593E274D" w:rsidR="008F4FA7" w:rsidRPr="0097702D" w:rsidRDefault="008F4FA7" w:rsidP="008F4FA7">
            <w:pPr>
              <w:jc w:val="center"/>
              <w:rPr>
                <w:rFonts w:asciiTheme="majorHAnsi" w:hAnsiTheme="majorHAnsi" w:cstheme="majorHAnsi"/>
                <w:sz w:val="18"/>
                <w:szCs w:val="18"/>
              </w:rPr>
            </w:pPr>
            <w:r w:rsidRPr="0097702D">
              <w:rPr>
                <w:sz w:val="18"/>
                <w:szCs w:val="18"/>
              </w:rPr>
              <w:t>0.002232</w:t>
            </w:r>
          </w:p>
        </w:tc>
        <w:tc>
          <w:tcPr>
            <w:tcW w:w="1350" w:type="dxa"/>
            <w:noWrap/>
          </w:tcPr>
          <w:p w14:paraId="3DCA96B5" w14:textId="25FACC24" w:rsidR="008F4FA7" w:rsidRPr="0097702D" w:rsidRDefault="008F4FA7" w:rsidP="008F4FA7">
            <w:pPr>
              <w:jc w:val="center"/>
              <w:rPr>
                <w:rFonts w:asciiTheme="majorHAnsi" w:hAnsiTheme="majorHAnsi" w:cstheme="majorHAnsi"/>
                <w:sz w:val="18"/>
                <w:szCs w:val="18"/>
              </w:rPr>
            </w:pPr>
            <w:r w:rsidRPr="00CB4268">
              <w:rPr>
                <w:b/>
                <w:bCs/>
                <w:sz w:val="14"/>
                <w:szCs w:val="14"/>
              </w:rPr>
              <w:t>REDACTED</w:t>
            </w:r>
          </w:p>
        </w:tc>
        <w:tc>
          <w:tcPr>
            <w:tcW w:w="1080" w:type="dxa"/>
            <w:noWrap/>
            <w:vAlign w:val="center"/>
          </w:tcPr>
          <w:p w14:paraId="200479D8" w14:textId="674A0CA5" w:rsidR="008F4FA7" w:rsidRPr="0097702D" w:rsidRDefault="008F4FA7" w:rsidP="008F4FA7">
            <w:pPr>
              <w:jc w:val="center"/>
              <w:rPr>
                <w:rFonts w:asciiTheme="majorHAnsi" w:hAnsiTheme="majorHAnsi" w:cstheme="majorHAnsi"/>
                <w:sz w:val="18"/>
                <w:szCs w:val="18"/>
              </w:rPr>
            </w:pPr>
            <w:r w:rsidRPr="0097702D">
              <w:rPr>
                <w:sz w:val="18"/>
                <w:szCs w:val="18"/>
              </w:rPr>
              <w:t>2,186.82</w:t>
            </w:r>
          </w:p>
        </w:tc>
        <w:tc>
          <w:tcPr>
            <w:tcW w:w="1260" w:type="dxa"/>
            <w:noWrap/>
          </w:tcPr>
          <w:p w14:paraId="66C31002" w14:textId="4548F6CC"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44" w:type="dxa"/>
            <w:noWrap/>
          </w:tcPr>
          <w:p w14:paraId="644A13F0" w14:textId="171EA1ED"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264" w:type="dxa"/>
            <w:noWrap/>
          </w:tcPr>
          <w:p w14:paraId="08EBB7A8" w14:textId="67FF9721"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87" w:type="dxa"/>
            <w:noWrap/>
          </w:tcPr>
          <w:p w14:paraId="55F156DC" w14:textId="5422267F"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r>
      <w:tr w:rsidR="008F4FA7" w:rsidRPr="00943E4B" w14:paraId="57CB7E8E" w14:textId="77777777" w:rsidTr="00855F03">
        <w:trPr>
          <w:trHeight w:val="300"/>
          <w:jc w:val="center"/>
        </w:trPr>
        <w:tc>
          <w:tcPr>
            <w:tcW w:w="800" w:type="dxa"/>
            <w:noWrap/>
            <w:vAlign w:val="center"/>
            <w:hideMark/>
          </w:tcPr>
          <w:p w14:paraId="1BD4BABA" w14:textId="74F8D40D"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6</w:t>
            </w:r>
          </w:p>
        </w:tc>
        <w:tc>
          <w:tcPr>
            <w:tcW w:w="12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0C2891" w14:textId="2394E5CF" w:rsidR="008F4FA7" w:rsidRPr="0097702D" w:rsidRDefault="008F4FA7" w:rsidP="008F4FA7">
            <w:pPr>
              <w:jc w:val="center"/>
              <w:rPr>
                <w:rFonts w:asciiTheme="majorHAnsi" w:hAnsiTheme="majorHAnsi" w:cstheme="majorHAnsi"/>
                <w:sz w:val="18"/>
                <w:szCs w:val="18"/>
              </w:rPr>
            </w:pPr>
            <w:r w:rsidRPr="0097702D">
              <w:rPr>
                <w:sz w:val="18"/>
                <w:szCs w:val="18"/>
              </w:rPr>
              <w:t>0.001101</w:t>
            </w:r>
          </w:p>
        </w:tc>
        <w:tc>
          <w:tcPr>
            <w:tcW w:w="1350" w:type="dxa"/>
            <w:noWrap/>
          </w:tcPr>
          <w:p w14:paraId="2C7D28F4" w14:textId="545CBD1C" w:rsidR="008F4FA7" w:rsidRPr="0097702D" w:rsidRDefault="008F4FA7" w:rsidP="008F4FA7">
            <w:pPr>
              <w:jc w:val="center"/>
              <w:rPr>
                <w:rFonts w:asciiTheme="majorHAnsi" w:hAnsiTheme="majorHAnsi" w:cstheme="majorHAnsi"/>
                <w:sz w:val="18"/>
                <w:szCs w:val="18"/>
              </w:rPr>
            </w:pPr>
            <w:r w:rsidRPr="00CB4268">
              <w:rPr>
                <w:b/>
                <w:bCs/>
                <w:sz w:val="14"/>
                <w:szCs w:val="14"/>
              </w:rPr>
              <w:t>REDACTED</w:t>
            </w:r>
          </w:p>
        </w:tc>
        <w:tc>
          <w:tcPr>
            <w:tcW w:w="1080" w:type="dxa"/>
            <w:noWrap/>
            <w:vAlign w:val="center"/>
          </w:tcPr>
          <w:p w14:paraId="5898F028" w14:textId="3973BF9B" w:rsidR="008F4FA7" w:rsidRPr="0097702D" w:rsidRDefault="008F4FA7" w:rsidP="008F4FA7">
            <w:pPr>
              <w:jc w:val="center"/>
              <w:rPr>
                <w:rFonts w:asciiTheme="majorHAnsi" w:hAnsiTheme="majorHAnsi" w:cstheme="majorHAnsi"/>
                <w:sz w:val="18"/>
                <w:szCs w:val="18"/>
              </w:rPr>
            </w:pPr>
            <w:r w:rsidRPr="0097702D">
              <w:rPr>
                <w:sz w:val="18"/>
                <w:szCs w:val="18"/>
              </w:rPr>
              <w:t>633.64</w:t>
            </w:r>
          </w:p>
        </w:tc>
        <w:tc>
          <w:tcPr>
            <w:tcW w:w="1260" w:type="dxa"/>
            <w:noWrap/>
          </w:tcPr>
          <w:p w14:paraId="7E420E5C" w14:textId="378CDA4C"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44" w:type="dxa"/>
            <w:noWrap/>
          </w:tcPr>
          <w:p w14:paraId="472DEBD6" w14:textId="09078291"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264" w:type="dxa"/>
            <w:noWrap/>
          </w:tcPr>
          <w:p w14:paraId="47BD59DE" w14:textId="18863DD6"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87" w:type="dxa"/>
            <w:noWrap/>
          </w:tcPr>
          <w:p w14:paraId="462D6D6B" w14:textId="4FAEDFA1"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r>
      <w:tr w:rsidR="008F4FA7" w:rsidRPr="00943E4B" w14:paraId="01C39813" w14:textId="77777777" w:rsidTr="00855F03">
        <w:trPr>
          <w:trHeight w:val="300"/>
          <w:jc w:val="center"/>
        </w:trPr>
        <w:tc>
          <w:tcPr>
            <w:tcW w:w="800" w:type="dxa"/>
            <w:noWrap/>
            <w:vAlign w:val="center"/>
            <w:hideMark/>
          </w:tcPr>
          <w:p w14:paraId="34C301E0" w14:textId="6149AFCB"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7</w:t>
            </w:r>
          </w:p>
        </w:tc>
        <w:tc>
          <w:tcPr>
            <w:tcW w:w="1265" w:type="dxa"/>
            <w:tcBorders>
              <w:top w:val="nil"/>
              <w:left w:val="single" w:sz="4" w:space="0" w:color="auto"/>
              <w:bottom w:val="single" w:sz="4" w:space="0" w:color="auto"/>
              <w:right w:val="single" w:sz="4" w:space="0" w:color="auto"/>
            </w:tcBorders>
            <w:shd w:val="clear" w:color="auto" w:fill="auto"/>
            <w:noWrap/>
            <w:vAlign w:val="center"/>
            <w:hideMark/>
          </w:tcPr>
          <w:p w14:paraId="382BC49E" w14:textId="20E29B96" w:rsidR="008F4FA7" w:rsidRPr="0097702D" w:rsidRDefault="008F4FA7" w:rsidP="008F4FA7">
            <w:pPr>
              <w:jc w:val="center"/>
              <w:rPr>
                <w:rFonts w:asciiTheme="majorHAnsi" w:hAnsiTheme="majorHAnsi" w:cstheme="majorHAnsi"/>
                <w:sz w:val="18"/>
                <w:szCs w:val="18"/>
              </w:rPr>
            </w:pPr>
            <w:r w:rsidRPr="0097702D">
              <w:rPr>
                <w:sz w:val="18"/>
                <w:szCs w:val="18"/>
              </w:rPr>
              <w:t>0.003333</w:t>
            </w:r>
          </w:p>
        </w:tc>
        <w:tc>
          <w:tcPr>
            <w:tcW w:w="1350" w:type="dxa"/>
            <w:noWrap/>
          </w:tcPr>
          <w:p w14:paraId="0222BDDD" w14:textId="337096F2" w:rsidR="008F4FA7" w:rsidRPr="0097702D" w:rsidRDefault="008F4FA7" w:rsidP="008F4FA7">
            <w:pPr>
              <w:jc w:val="center"/>
              <w:rPr>
                <w:rFonts w:asciiTheme="majorHAnsi" w:hAnsiTheme="majorHAnsi" w:cstheme="majorHAnsi"/>
                <w:sz w:val="18"/>
                <w:szCs w:val="18"/>
              </w:rPr>
            </w:pPr>
            <w:r w:rsidRPr="00CB4268">
              <w:rPr>
                <w:b/>
                <w:bCs/>
                <w:sz w:val="14"/>
                <w:szCs w:val="14"/>
              </w:rPr>
              <w:t>REDACTED</w:t>
            </w:r>
          </w:p>
        </w:tc>
        <w:tc>
          <w:tcPr>
            <w:tcW w:w="1080" w:type="dxa"/>
            <w:noWrap/>
            <w:vAlign w:val="center"/>
          </w:tcPr>
          <w:p w14:paraId="09DA804F" w14:textId="3A190137" w:rsidR="008F4FA7" w:rsidRPr="0097702D" w:rsidRDefault="008F4FA7" w:rsidP="008F4FA7">
            <w:pPr>
              <w:jc w:val="center"/>
              <w:rPr>
                <w:rFonts w:asciiTheme="majorHAnsi" w:hAnsiTheme="majorHAnsi" w:cstheme="majorHAnsi"/>
                <w:sz w:val="18"/>
                <w:szCs w:val="18"/>
              </w:rPr>
            </w:pPr>
            <w:r w:rsidRPr="0097702D">
              <w:rPr>
                <w:sz w:val="18"/>
                <w:szCs w:val="18"/>
              </w:rPr>
              <w:t>884.02</w:t>
            </w:r>
          </w:p>
        </w:tc>
        <w:tc>
          <w:tcPr>
            <w:tcW w:w="1260" w:type="dxa"/>
            <w:noWrap/>
          </w:tcPr>
          <w:p w14:paraId="1E7912F2" w14:textId="4CC29D9B"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44" w:type="dxa"/>
            <w:noWrap/>
          </w:tcPr>
          <w:p w14:paraId="25D899E2" w14:textId="3296D40A"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264" w:type="dxa"/>
            <w:noWrap/>
          </w:tcPr>
          <w:p w14:paraId="019444BD" w14:textId="00B7B87E"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87" w:type="dxa"/>
            <w:noWrap/>
          </w:tcPr>
          <w:p w14:paraId="301DC963" w14:textId="0306F500"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r>
      <w:tr w:rsidR="008F4FA7" w:rsidRPr="00943E4B" w14:paraId="083239A4" w14:textId="77777777" w:rsidTr="00855F03">
        <w:trPr>
          <w:trHeight w:val="300"/>
          <w:jc w:val="center"/>
        </w:trPr>
        <w:tc>
          <w:tcPr>
            <w:tcW w:w="800" w:type="dxa"/>
            <w:noWrap/>
            <w:vAlign w:val="center"/>
            <w:hideMark/>
          </w:tcPr>
          <w:p w14:paraId="47ADC19B" w14:textId="1471CADD"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8</w:t>
            </w:r>
          </w:p>
        </w:tc>
        <w:tc>
          <w:tcPr>
            <w:tcW w:w="1265" w:type="dxa"/>
            <w:tcBorders>
              <w:top w:val="nil"/>
              <w:left w:val="single" w:sz="4" w:space="0" w:color="auto"/>
              <w:bottom w:val="single" w:sz="4" w:space="0" w:color="auto"/>
              <w:right w:val="single" w:sz="4" w:space="0" w:color="auto"/>
            </w:tcBorders>
            <w:shd w:val="clear" w:color="auto" w:fill="auto"/>
            <w:noWrap/>
            <w:vAlign w:val="center"/>
            <w:hideMark/>
          </w:tcPr>
          <w:p w14:paraId="6FE933B2" w14:textId="01A7545B" w:rsidR="008F4FA7" w:rsidRPr="0097702D" w:rsidRDefault="008F4FA7" w:rsidP="008F4FA7">
            <w:pPr>
              <w:jc w:val="center"/>
              <w:rPr>
                <w:rFonts w:asciiTheme="majorHAnsi" w:hAnsiTheme="majorHAnsi" w:cstheme="majorHAnsi"/>
                <w:sz w:val="18"/>
                <w:szCs w:val="18"/>
              </w:rPr>
            </w:pPr>
            <w:r w:rsidRPr="0097702D">
              <w:rPr>
                <w:sz w:val="18"/>
                <w:szCs w:val="18"/>
              </w:rPr>
              <w:t>0.002222</w:t>
            </w:r>
          </w:p>
        </w:tc>
        <w:tc>
          <w:tcPr>
            <w:tcW w:w="1350" w:type="dxa"/>
            <w:noWrap/>
          </w:tcPr>
          <w:p w14:paraId="60712315" w14:textId="33088610" w:rsidR="008F4FA7" w:rsidRPr="0097702D" w:rsidRDefault="008F4FA7" w:rsidP="008F4FA7">
            <w:pPr>
              <w:jc w:val="center"/>
              <w:rPr>
                <w:rFonts w:asciiTheme="majorHAnsi" w:hAnsiTheme="majorHAnsi" w:cstheme="majorHAnsi"/>
                <w:sz w:val="18"/>
                <w:szCs w:val="18"/>
              </w:rPr>
            </w:pPr>
            <w:r w:rsidRPr="00CB4268">
              <w:rPr>
                <w:b/>
                <w:bCs/>
                <w:sz w:val="14"/>
                <w:szCs w:val="14"/>
              </w:rPr>
              <w:t>REDACTED</w:t>
            </w:r>
          </w:p>
        </w:tc>
        <w:tc>
          <w:tcPr>
            <w:tcW w:w="1080" w:type="dxa"/>
            <w:noWrap/>
            <w:vAlign w:val="center"/>
          </w:tcPr>
          <w:p w14:paraId="6F5BBA5D" w14:textId="30AF59CD" w:rsidR="008F4FA7" w:rsidRPr="0097702D" w:rsidRDefault="008F4FA7" w:rsidP="008F4FA7">
            <w:pPr>
              <w:jc w:val="center"/>
              <w:rPr>
                <w:rFonts w:asciiTheme="majorHAnsi" w:hAnsiTheme="majorHAnsi" w:cstheme="majorHAnsi"/>
                <w:sz w:val="18"/>
                <w:szCs w:val="18"/>
              </w:rPr>
            </w:pPr>
            <w:r w:rsidRPr="0097702D">
              <w:rPr>
                <w:sz w:val="18"/>
                <w:szCs w:val="18"/>
              </w:rPr>
              <w:t>342.88</w:t>
            </w:r>
          </w:p>
        </w:tc>
        <w:tc>
          <w:tcPr>
            <w:tcW w:w="1260" w:type="dxa"/>
            <w:noWrap/>
          </w:tcPr>
          <w:p w14:paraId="2D09648B" w14:textId="65B4254E"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44" w:type="dxa"/>
            <w:noWrap/>
          </w:tcPr>
          <w:p w14:paraId="5C62EB8E" w14:textId="4E6AB74D"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264" w:type="dxa"/>
            <w:noWrap/>
          </w:tcPr>
          <w:p w14:paraId="59F3963A" w14:textId="1F71D130"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87" w:type="dxa"/>
            <w:noWrap/>
          </w:tcPr>
          <w:p w14:paraId="70D721A2" w14:textId="1D2D3172"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r>
      <w:tr w:rsidR="008F4FA7" w:rsidRPr="00943E4B" w14:paraId="23D6B94D" w14:textId="77777777" w:rsidTr="00855F03">
        <w:trPr>
          <w:trHeight w:val="300"/>
          <w:jc w:val="center"/>
        </w:trPr>
        <w:tc>
          <w:tcPr>
            <w:tcW w:w="800" w:type="dxa"/>
            <w:noWrap/>
            <w:vAlign w:val="center"/>
            <w:hideMark/>
          </w:tcPr>
          <w:p w14:paraId="09DA10BD" w14:textId="0965DFB1"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9</w:t>
            </w:r>
          </w:p>
        </w:tc>
        <w:tc>
          <w:tcPr>
            <w:tcW w:w="1265" w:type="dxa"/>
            <w:tcBorders>
              <w:top w:val="nil"/>
              <w:left w:val="single" w:sz="4" w:space="0" w:color="auto"/>
              <w:bottom w:val="single" w:sz="4" w:space="0" w:color="auto"/>
              <w:right w:val="single" w:sz="4" w:space="0" w:color="auto"/>
            </w:tcBorders>
            <w:shd w:val="clear" w:color="auto" w:fill="auto"/>
            <w:noWrap/>
            <w:vAlign w:val="center"/>
            <w:hideMark/>
          </w:tcPr>
          <w:p w14:paraId="0DC0D311" w14:textId="1D507DAE" w:rsidR="008F4FA7" w:rsidRPr="0097702D" w:rsidRDefault="008F4FA7" w:rsidP="008F4FA7">
            <w:pPr>
              <w:jc w:val="center"/>
              <w:rPr>
                <w:rFonts w:asciiTheme="majorHAnsi" w:hAnsiTheme="majorHAnsi" w:cstheme="majorHAnsi"/>
                <w:sz w:val="18"/>
                <w:szCs w:val="18"/>
              </w:rPr>
            </w:pPr>
            <w:r w:rsidRPr="0097702D">
              <w:rPr>
                <w:sz w:val="18"/>
                <w:szCs w:val="18"/>
              </w:rPr>
              <w:t>0.002232</w:t>
            </w:r>
          </w:p>
        </w:tc>
        <w:tc>
          <w:tcPr>
            <w:tcW w:w="1350" w:type="dxa"/>
            <w:noWrap/>
          </w:tcPr>
          <w:p w14:paraId="396DF3B1" w14:textId="0639646B" w:rsidR="008F4FA7" w:rsidRPr="0097702D" w:rsidRDefault="008F4FA7" w:rsidP="008F4FA7">
            <w:pPr>
              <w:jc w:val="center"/>
              <w:rPr>
                <w:rFonts w:asciiTheme="majorHAnsi" w:hAnsiTheme="majorHAnsi" w:cstheme="majorHAnsi"/>
                <w:sz w:val="18"/>
                <w:szCs w:val="18"/>
              </w:rPr>
            </w:pPr>
            <w:r w:rsidRPr="00CB4268">
              <w:rPr>
                <w:b/>
                <w:bCs/>
                <w:sz w:val="14"/>
                <w:szCs w:val="14"/>
              </w:rPr>
              <w:t>REDACTED</w:t>
            </w:r>
          </w:p>
        </w:tc>
        <w:tc>
          <w:tcPr>
            <w:tcW w:w="1080" w:type="dxa"/>
            <w:noWrap/>
            <w:vAlign w:val="center"/>
          </w:tcPr>
          <w:p w14:paraId="4A2A8FD6" w14:textId="2FDFDE1A" w:rsidR="008F4FA7" w:rsidRPr="0097702D" w:rsidRDefault="008F4FA7" w:rsidP="008F4FA7">
            <w:pPr>
              <w:jc w:val="center"/>
              <w:rPr>
                <w:rFonts w:asciiTheme="majorHAnsi" w:hAnsiTheme="majorHAnsi" w:cstheme="majorHAnsi"/>
                <w:sz w:val="18"/>
                <w:szCs w:val="18"/>
              </w:rPr>
            </w:pPr>
            <w:r w:rsidRPr="0097702D">
              <w:rPr>
                <w:sz w:val="18"/>
                <w:szCs w:val="18"/>
              </w:rPr>
              <w:t>285.06</w:t>
            </w:r>
          </w:p>
        </w:tc>
        <w:tc>
          <w:tcPr>
            <w:tcW w:w="1260" w:type="dxa"/>
            <w:noWrap/>
          </w:tcPr>
          <w:p w14:paraId="5DDCE9F8" w14:textId="0FC2566A"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44" w:type="dxa"/>
            <w:noWrap/>
          </w:tcPr>
          <w:p w14:paraId="7F08B824" w14:textId="76033EB4"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264" w:type="dxa"/>
            <w:noWrap/>
          </w:tcPr>
          <w:p w14:paraId="0C8D303F" w14:textId="0BB6A213"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87" w:type="dxa"/>
            <w:noWrap/>
          </w:tcPr>
          <w:p w14:paraId="1F809B68" w14:textId="366A3137"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r>
      <w:tr w:rsidR="008F4FA7" w:rsidRPr="00943E4B" w14:paraId="414503D9" w14:textId="77777777" w:rsidTr="00855F03">
        <w:trPr>
          <w:trHeight w:val="300"/>
          <w:jc w:val="center"/>
        </w:trPr>
        <w:tc>
          <w:tcPr>
            <w:tcW w:w="800" w:type="dxa"/>
            <w:noWrap/>
            <w:vAlign w:val="center"/>
            <w:hideMark/>
          </w:tcPr>
          <w:p w14:paraId="7F8F949D" w14:textId="38363DFC"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10</w:t>
            </w:r>
          </w:p>
        </w:tc>
        <w:tc>
          <w:tcPr>
            <w:tcW w:w="1265" w:type="dxa"/>
            <w:tcBorders>
              <w:top w:val="nil"/>
              <w:left w:val="single" w:sz="4" w:space="0" w:color="auto"/>
              <w:bottom w:val="single" w:sz="4" w:space="0" w:color="auto"/>
              <w:right w:val="single" w:sz="4" w:space="0" w:color="auto"/>
            </w:tcBorders>
            <w:shd w:val="clear" w:color="auto" w:fill="auto"/>
            <w:noWrap/>
            <w:vAlign w:val="center"/>
            <w:hideMark/>
          </w:tcPr>
          <w:p w14:paraId="42453C7A" w14:textId="3B24560E" w:rsidR="008F4FA7" w:rsidRPr="0097702D" w:rsidRDefault="008F4FA7" w:rsidP="008F4FA7">
            <w:pPr>
              <w:jc w:val="center"/>
              <w:rPr>
                <w:rFonts w:asciiTheme="majorHAnsi" w:hAnsiTheme="majorHAnsi" w:cstheme="majorHAnsi"/>
                <w:sz w:val="18"/>
                <w:szCs w:val="18"/>
              </w:rPr>
            </w:pPr>
            <w:r w:rsidRPr="0097702D">
              <w:rPr>
                <w:sz w:val="18"/>
                <w:szCs w:val="18"/>
              </w:rPr>
              <w:t>0.001101</w:t>
            </w:r>
          </w:p>
        </w:tc>
        <w:tc>
          <w:tcPr>
            <w:tcW w:w="1350" w:type="dxa"/>
            <w:noWrap/>
          </w:tcPr>
          <w:p w14:paraId="752DEE75" w14:textId="17B78819" w:rsidR="008F4FA7" w:rsidRPr="0097702D" w:rsidRDefault="008F4FA7" w:rsidP="008F4FA7">
            <w:pPr>
              <w:jc w:val="center"/>
              <w:rPr>
                <w:rFonts w:asciiTheme="majorHAnsi" w:hAnsiTheme="majorHAnsi" w:cstheme="majorHAnsi"/>
                <w:sz w:val="18"/>
                <w:szCs w:val="18"/>
              </w:rPr>
            </w:pPr>
            <w:r w:rsidRPr="00CB4268">
              <w:rPr>
                <w:b/>
                <w:bCs/>
                <w:sz w:val="14"/>
                <w:szCs w:val="14"/>
              </w:rPr>
              <w:t>REDACTED</w:t>
            </w:r>
          </w:p>
        </w:tc>
        <w:tc>
          <w:tcPr>
            <w:tcW w:w="1080" w:type="dxa"/>
            <w:noWrap/>
            <w:vAlign w:val="center"/>
          </w:tcPr>
          <w:p w14:paraId="7E21EC0C" w14:textId="1A2A1F0B" w:rsidR="008F4FA7" w:rsidRPr="0097702D" w:rsidRDefault="008F4FA7" w:rsidP="008F4FA7">
            <w:pPr>
              <w:jc w:val="center"/>
              <w:rPr>
                <w:rFonts w:asciiTheme="majorHAnsi" w:hAnsiTheme="majorHAnsi" w:cstheme="majorHAnsi"/>
                <w:sz w:val="18"/>
                <w:szCs w:val="18"/>
              </w:rPr>
            </w:pPr>
            <w:r w:rsidRPr="0097702D">
              <w:rPr>
                <w:sz w:val="18"/>
                <w:szCs w:val="18"/>
              </w:rPr>
              <w:t>285.00</w:t>
            </w:r>
          </w:p>
        </w:tc>
        <w:tc>
          <w:tcPr>
            <w:tcW w:w="1260" w:type="dxa"/>
            <w:noWrap/>
          </w:tcPr>
          <w:p w14:paraId="766977C6" w14:textId="3741AB26"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44" w:type="dxa"/>
            <w:noWrap/>
          </w:tcPr>
          <w:p w14:paraId="4724EB07" w14:textId="3843ECB5"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264" w:type="dxa"/>
            <w:noWrap/>
          </w:tcPr>
          <w:p w14:paraId="6E594E5F" w14:textId="2745C95B"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c>
          <w:tcPr>
            <w:tcW w:w="1187" w:type="dxa"/>
            <w:noWrap/>
          </w:tcPr>
          <w:p w14:paraId="732082C0" w14:textId="408E0C51" w:rsidR="008F4FA7" w:rsidRPr="0097702D" w:rsidRDefault="008F4FA7" w:rsidP="008F4FA7">
            <w:pPr>
              <w:jc w:val="center"/>
              <w:rPr>
                <w:rFonts w:asciiTheme="majorHAnsi" w:hAnsiTheme="majorHAnsi" w:cstheme="majorHAnsi"/>
                <w:sz w:val="18"/>
                <w:szCs w:val="18"/>
              </w:rPr>
            </w:pPr>
            <w:r w:rsidRPr="006A4182">
              <w:rPr>
                <w:b/>
                <w:bCs/>
                <w:sz w:val="14"/>
                <w:szCs w:val="14"/>
              </w:rPr>
              <w:t>REDACTED</w:t>
            </w:r>
          </w:p>
        </w:tc>
      </w:tr>
    </w:tbl>
    <w:p w14:paraId="0FB17EAA" w14:textId="77777777" w:rsidR="00702B99" w:rsidRPr="00943E4B" w:rsidRDefault="00702B99"/>
    <w:p w14:paraId="045F8FCE" w14:textId="499B5994" w:rsidR="00877D9E" w:rsidRPr="00943E4B" w:rsidRDefault="00877D9E">
      <w:r w:rsidRPr="00943E4B">
        <w:t>A similar calculation</w:t>
      </w:r>
      <w:r w:rsidR="00F621A0" w:rsidRPr="00943E4B">
        <w:t xml:space="preserve"> for the same 10 cases</w:t>
      </w:r>
      <w:r w:rsidRPr="00943E4B">
        <w:t xml:space="preserve"> is performed for the components of Production Cost as demonstrated in </w:t>
      </w:r>
      <w:r w:rsidR="007009BB" w:rsidRPr="00943E4B">
        <w:rPr>
          <w:szCs w:val="24"/>
        </w:rPr>
        <w:fldChar w:fldCharType="begin"/>
      </w:r>
      <w:r w:rsidR="007009BB" w:rsidRPr="00943E4B">
        <w:rPr>
          <w:szCs w:val="24"/>
        </w:rPr>
        <w:instrText xml:space="preserve"> REF _Ref513786096 \h </w:instrText>
      </w:r>
      <w:r w:rsidR="00943E4B">
        <w:rPr>
          <w:szCs w:val="24"/>
        </w:rPr>
        <w:instrText xml:space="preserve"> \* MERGEFORMAT </w:instrText>
      </w:r>
      <w:r w:rsidR="007009BB" w:rsidRPr="00943E4B">
        <w:rPr>
          <w:szCs w:val="24"/>
        </w:rPr>
      </w:r>
      <w:r w:rsidR="007009BB" w:rsidRPr="00943E4B">
        <w:rPr>
          <w:szCs w:val="24"/>
        </w:rPr>
        <w:fldChar w:fldCharType="separate"/>
      </w:r>
      <w:r w:rsidR="00686745" w:rsidRPr="00943E4B">
        <w:t xml:space="preserve">Table </w:t>
      </w:r>
      <w:r w:rsidR="00686745">
        <w:rPr>
          <w:noProof/>
        </w:rPr>
        <w:t>II</w:t>
      </w:r>
      <w:r w:rsidR="00686745" w:rsidRPr="00943E4B">
        <w:rPr>
          <w:noProof/>
        </w:rPr>
        <w:noBreakHyphen/>
      </w:r>
      <w:r w:rsidR="00686745">
        <w:rPr>
          <w:noProof/>
        </w:rPr>
        <w:t>6</w:t>
      </w:r>
      <w:r w:rsidR="007009BB" w:rsidRPr="00943E4B">
        <w:rPr>
          <w:szCs w:val="24"/>
        </w:rPr>
        <w:fldChar w:fldCharType="end"/>
      </w:r>
      <w:r w:rsidR="007009BB" w:rsidRPr="00943E4B">
        <w:rPr>
          <w:szCs w:val="24"/>
        </w:rPr>
        <w:t xml:space="preserve"> and </w:t>
      </w:r>
      <w:r w:rsidR="007009BB" w:rsidRPr="00943E4B">
        <w:rPr>
          <w:szCs w:val="24"/>
        </w:rPr>
        <w:fldChar w:fldCharType="begin"/>
      </w:r>
      <w:r w:rsidR="007009BB" w:rsidRPr="00943E4B">
        <w:rPr>
          <w:szCs w:val="24"/>
        </w:rPr>
        <w:instrText xml:space="preserve"> REF _Ref513786037 \h </w:instrText>
      </w:r>
      <w:r w:rsidR="00943E4B">
        <w:rPr>
          <w:szCs w:val="24"/>
        </w:rPr>
        <w:instrText xml:space="preserve"> \* MERGEFORMAT </w:instrText>
      </w:r>
      <w:r w:rsidR="007009BB" w:rsidRPr="00943E4B">
        <w:rPr>
          <w:szCs w:val="24"/>
        </w:rPr>
      </w:r>
      <w:r w:rsidR="007009BB" w:rsidRPr="00943E4B">
        <w:rPr>
          <w:szCs w:val="24"/>
        </w:rPr>
        <w:fldChar w:fldCharType="separate"/>
      </w:r>
      <w:r w:rsidR="00686745" w:rsidRPr="00943E4B">
        <w:t xml:space="preserve">Table </w:t>
      </w:r>
      <w:r w:rsidR="00686745">
        <w:rPr>
          <w:noProof/>
        </w:rPr>
        <w:t>II</w:t>
      </w:r>
      <w:r w:rsidR="00686745" w:rsidRPr="00943E4B">
        <w:rPr>
          <w:noProof/>
        </w:rPr>
        <w:noBreakHyphen/>
      </w:r>
      <w:r w:rsidR="00686745">
        <w:rPr>
          <w:noProof/>
        </w:rPr>
        <w:t>7</w:t>
      </w:r>
      <w:r w:rsidR="007009BB" w:rsidRPr="00943E4B">
        <w:rPr>
          <w:szCs w:val="24"/>
        </w:rPr>
        <w:fldChar w:fldCharType="end"/>
      </w:r>
      <w:r w:rsidRPr="00943E4B">
        <w:t>.</w:t>
      </w:r>
    </w:p>
    <w:p w14:paraId="611C804A" w14:textId="77777777" w:rsidR="00877D9E" w:rsidRPr="00943E4B" w:rsidRDefault="00877D9E"/>
    <w:p w14:paraId="1D728867" w14:textId="0143F136" w:rsidR="00877D9E" w:rsidRPr="00943E4B" w:rsidRDefault="00877D9E" w:rsidP="00877D9E">
      <w:pPr>
        <w:pStyle w:val="Caption"/>
        <w:keepNext/>
      </w:pPr>
      <w:bookmarkStart w:id="317" w:name="_Ref513786096"/>
      <w:bookmarkStart w:id="318" w:name="_Toc513710542"/>
      <w:bookmarkStart w:id="319" w:name="_Toc187234650"/>
      <w:r w:rsidRPr="00943E4B">
        <w:t xml:space="preserve">Table </w:t>
      </w:r>
      <w:r w:rsidR="00161C58" w:rsidRPr="00943E4B">
        <w:fldChar w:fldCharType="begin"/>
      </w:r>
      <w:r w:rsidR="00161C58" w:rsidRPr="00943E4B">
        <w:instrText xml:space="preserve"> STYLEREF 1 \s </w:instrText>
      </w:r>
      <w:r w:rsidR="00161C58" w:rsidRPr="00943E4B">
        <w:fldChar w:fldCharType="separate"/>
      </w:r>
      <w:r w:rsidR="00161C58">
        <w:rPr>
          <w:noProof/>
        </w:rPr>
        <w:t>II</w:t>
      </w:r>
      <w:r w:rsidR="00161C58" w:rsidRPr="00943E4B">
        <w:rPr>
          <w:noProof/>
        </w:rPr>
        <w:fldChar w:fldCharType="end"/>
      </w:r>
      <w:r w:rsidR="00922797" w:rsidRPr="00943E4B">
        <w:noBreakHyphen/>
      </w:r>
      <w:r w:rsidR="00161C58" w:rsidRPr="00943E4B">
        <w:fldChar w:fldCharType="begin"/>
      </w:r>
      <w:r w:rsidR="00161C58" w:rsidRPr="00943E4B">
        <w:instrText xml:space="preserve"> SEQ Table \* ARABIC \s 1 </w:instrText>
      </w:r>
      <w:r w:rsidR="00161C58" w:rsidRPr="00943E4B">
        <w:fldChar w:fldCharType="separate"/>
      </w:r>
      <w:r w:rsidR="00095413">
        <w:rPr>
          <w:noProof/>
        </w:rPr>
        <w:t>6</w:t>
      </w:r>
      <w:r w:rsidR="00161C58" w:rsidRPr="00943E4B">
        <w:rPr>
          <w:noProof/>
        </w:rPr>
        <w:fldChar w:fldCharType="end"/>
      </w:r>
      <w:bookmarkEnd w:id="317"/>
      <w:r w:rsidRPr="00943E4B">
        <w:t xml:space="preserve">. Production Cost Components </w:t>
      </w:r>
      <w:r w:rsidR="00641D9C" w:rsidRPr="00943E4B">
        <w:t>for</w:t>
      </w:r>
      <w:r w:rsidRPr="00943E4B">
        <w:t xml:space="preserve"> Sample Data Set</w:t>
      </w:r>
      <w:bookmarkEnd w:id="318"/>
      <w:bookmarkEnd w:id="319"/>
    </w:p>
    <w:tbl>
      <w:tblPr>
        <w:tblStyle w:val="TableGrid"/>
        <w:tblW w:w="0" w:type="auto"/>
        <w:jc w:val="center"/>
        <w:tblLook w:val="04A0" w:firstRow="1" w:lastRow="0" w:firstColumn="1" w:lastColumn="0" w:noHBand="0" w:noVBand="1"/>
      </w:tblPr>
      <w:tblGrid>
        <w:gridCol w:w="780"/>
        <w:gridCol w:w="2005"/>
        <w:gridCol w:w="1279"/>
        <w:gridCol w:w="2011"/>
      </w:tblGrid>
      <w:tr w:rsidR="00FE46B5" w:rsidRPr="00943E4B" w14:paraId="71536AFD" w14:textId="77777777" w:rsidTr="004E74B6">
        <w:trPr>
          <w:trHeight w:val="647"/>
          <w:jc w:val="center"/>
        </w:trPr>
        <w:tc>
          <w:tcPr>
            <w:tcW w:w="780" w:type="dxa"/>
            <w:hideMark/>
          </w:tcPr>
          <w:p w14:paraId="4DE79203" w14:textId="6FFC5B79"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Data Set</w:t>
            </w:r>
          </w:p>
        </w:tc>
        <w:tc>
          <w:tcPr>
            <w:tcW w:w="2005" w:type="dxa"/>
            <w:hideMark/>
          </w:tcPr>
          <w:p w14:paraId="7827F749" w14:textId="348771D0"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Generation Costs ($M)</w:t>
            </w:r>
          </w:p>
        </w:tc>
        <w:tc>
          <w:tcPr>
            <w:tcW w:w="1279" w:type="dxa"/>
            <w:hideMark/>
          </w:tcPr>
          <w:p w14:paraId="30469D56" w14:textId="0EF5E716"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Purchases (MWh)</w:t>
            </w:r>
          </w:p>
        </w:tc>
        <w:tc>
          <w:tcPr>
            <w:tcW w:w="2011" w:type="dxa"/>
            <w:hideMark/>
          </w:tcPr>
          <w:p w14:paraId="200EC2C9" w14:textId="716EC5E5"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Purchase Cost ($/MWH)</w:t>
            </w:r>
          </w:p>
        </w:tc>
      </w:tr>
      <w:tr w:rsidR="008F4FA7" w:rsidRPr="00943E4B" w14:paraId="4ED9B9B4" w14:textId="77777777" w:rsidTr="004E74B6">
        <w:trPr>
          <w:trHeight w:val="368"/>
          <w:jc w:val="center"/>
        </w:trPr>
        <w:tc>
          <w:tcPr>
            <w:tcW w:w="780" w:type="dxa"/>
            <w:noWrap/>
            <w:hideMark/>
          </w:tcPr>
          <w:p w14:paraId="283C612D" w14:textId="5282BC9C" w:rsidR="008F4FA7" w:rsidRPr="00FE46B5" w:rsidRDefault="008F4FA7" w:rsidP="008F4FA7">
            <w:pPr>
              <w:jc w:val="center"/>
              <w:rPr>
                <w:rFonts w:cs="Arial"/>
                <w:sz w:val="18"/>
                <w:szCs w:val="18"/>
              </w:rPr>
            </w:pPr>
            <w:r w:rsidRPr="00FE46B5">
              <w:rPr>
                <w:sz w:val="18"/>
                <w:szCs w:val="18"/>
              </w:rPr>
              <w:t>1</w:t>
            </w:r>
          </w:p>
        </w:tc>
        <w:tc>
          <w:tcPr>
            <w:tcW w:w="2005" w:type="dxa"/>
            <w:tcBorders>
              <w:top w:val="single" w:sz="4" w:space="0" w:color="auto"/>
              <w:left w:val="single" w:sz="4" w:space="0" w:color="auto"/>
              <w:bottom w:val="single" w:sz="4" w:space="0" w:color="auto"/>
              <w:right w:val="single" w:sz="4" w:space="0" w:color="auto"/>
            </w:tcBorders>
            <w:shd w:val="clear" w:color="auto" w:fill="auto"/>
            <w:noWrap/>
          </w:tcPr>
          <w:p w14:paraId="2F68B92A" w14:textId="10033E26"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1279" w:type="dxa"/>
            <w:tcBorders>
              <w:top w:val="single" w:sz="4" w:space="0" w:color="auto"/>
              <w:left w:val="nil"/>
              <w:bottom w:val="single" w:sz="4" w:space="0" w:color="auto"/>
              <w:right w:val="single" w:sz="4" w:space="0" w:color="auto"/>
            </w:tcBorders>
            <w:shd w:val="clear" w:color="auto" w:fill="auto"/>
            <w:noWrap/>
          </w:tcPr>
          <w:p w14:paraId="5F94547A" w14:textId="10616FC0"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2011" w:type="dxa"/>
            <w:tcBorders>
              <w:top w:val="single" w:sz="4" w:space="0" w:color="auto"/>
              <w:left w:val="nil"/>
              <w:bottom w:val="single" w:sz="4" w:space="0" w:color="auto"/>
              <w:right w:val="single" w:sz="4" w:space="0" w:color="auto"/>
            </w:tcBorders>
            <w:shd w:val="clear" w:color="auto" w:fill="auto"/>
            <w:noWrap/>
          </w:tcPr>
          <w:p w14:paraId="5879AC74" w14:textId="519F7DC8"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r>
      <w:tr w:rsidR="008F4FA7" w:rsidRPr="00943E4B" w14:paraId="08D19F3A" w14:textId="77777777" w:rsidTr="004E74B6">
        <w:trPr>
          <w:trHeight w:val="300"/>
          <w:jc w:val="center"/>
        </w:trPr>
        <w:tc>
          <w:tcPr>
            <w:tcW w:w="780" w:type="dxa"/>
            <w:noWrap/>
            <w:hideMark/>
          </w:tcPr>
          <w:p w14:paraId="11B606E2" w14:textId="6C9BD6AC" w:rsidR="008F4FA7" w:rsidRPr="00FE46B5" w:rsidRDefault="008F4FA7" w:rsidP="008F4FA7">
            <w:pPr>
              <w:jc w:val="center"/>
              <w:rPr>
                <w:rFonts w:cs="Arial"/>
                <w:sz w:val="18"/>
                <w:szCs w:val="18"/>
              </w:rPr>
            </w:pPr>
            <w:r w:rsidRPr="00FE46B5">
              <w:rPr>
                <w:sz w:val="18"/>
                <w:szCs w:val="18"/>
              </w:rPr>
              <w:t>2</w:t>
            </w:r>
          </w:p>
        </w:tc>
        <w:tc>
          <w:tcPr>
            <w:tcW w:w="2005" w:type="dxa"/>
            <w:tcBorders>
              <w:top w:val="nil"/>
              <w:left w:val="single" w:sz="4" w:space="0" w:color="auto"/>
              <w:bottom w:val="single" w:sz="4" w:space="0" w:color="auto"/>
              <w:right w:val="single" w:sz="4" w:space="0" w:color="auto"/>
            </w:tcBorders>
            <w:shd w:val="clear" w:color="auto" w:fill="auto"/>
            <w:noWrap/>
          </w:tcPr>
          <w:p w14:paraId="0F32D370" w14:textId="67ED3A1B"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1279" w:type="dxa"/>
            <w:tcBorders>
              <w:top w:val="nil"/>
              <w:left w:val="nil"/>
              <w:bottom w:val="single" w:sz="4" w:space="0" w:color="auto"/>
              <w:right w:val="single" w:sz="4" w:space="0" w:color="auto"/>
            </w:tcBorders>
            <w:shd w:val="clear" w:color="auto" w:fill="auto"/>
            <w:noWrap/>
          </w:tcPr>
          <w:p w14:paraId="2BE6202B" w14:textId="3F5E69EC"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2011" w:type="dxa"/>
            <w:tcBorders>
              <w:top w:val="nil"/>
              <w:left w:val="nil"/>
              <w:bottom w:val="single" w:sz="4" w:space="0" w:color="auto"/>
              <w:right w:val="single" w:sz="4" w:space="0" w:color="auto"/>
            </w:tcBorders>
            <w:shd w:val="clear" w:color="auto" w:fill="auto"/>
            <w:noWrap/>
          </w:tcPr>
          <w:p w14:paraId="366CD91B" w14:textId="6EDA979B"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r>
      <w:tr w:rsidR="008F4FA7" w:rsidRPr="00943E4B" w14:paraId="7B814AAF" w14:textId="77777777" w:rsidTr="004E74B6">
        <w:trPr>
          <w:trHeight w:val="300"/>
          <w:jc w:val="center"/>
        </w:trPr>
        <w:tc>
          <w:tcPr>
            <w:tcW w:w="780" w:type="dxa"/>
            <w:noWrap/>
            <w:hideMark/>
          </w:tcPr>
          <w:p w14:paraId="6CD6334F" w14:textId="55490C4D" w:rsidR="008F4FA7" w:rsidRPr="00FE46B5" w:rsidRDefault="008F4FA7" w:rsidP="008F4FA7">
            <w:pPr>
              <w:jc w:val="center"/>
              <w:rPr>
                <w:rFonts w:cs="Arial"/>
                <w:sz w:val="18"/>
                <w:szCs w:val="18"/>
              </w:rPr>
            </w:pPr>
            <w:r w:rsidRPr="00FE46B5">
              <w:rPr>
                <w:sz w:val="18"/>
                <w:szCs w:val="18"/>
              </w:rPr>
              <w:t>3</w:t>
            </w:r>
          </w:p>
        </w:tc>
        <w:tc>
          <w:tcPr>
            <w:tcW w:w="2005" w:type="dxa"/>
            <w:tcBorders>
              <w:top w:val="nil"/>
              <w:left w:val="single" w:sz="4" w:space="0" w:color="auto"/>
              <w:bottom w:val="single" w:sz="4" w:space="0" w:color="auto"/>
              <w:right w:val="single" w:sz="4" w:space="0" w:color="auto"/>
            </w:tcBorders>
            <w:shd w:val="clear" w:color="auto" w:fill="auto"/>
            <w:noWrap/>
          </w:tcPr>
          <w:p w14:paraId="707B4339" w14:textId="7A04574E"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1279" w:type="dxa"/>
            <w:tcBorders>
              <w:top w:val="nil"/>
              <w:left w:val="nil"/>
              <w:bottom w:val="single" w:sz="4" w:space="0" w:color="auto"/>
              <w:right w:val="single" w:sz="4" w:space="0" w:color="auto"/>
            </w:tcBorders>
            <w:shd w:val="clear" w:color="auto" w:fill="auto"/>
            <w:noWrap/>
          </w:tcPr>
          <w:p w14:paraId="43CEE6B4" w14:textId="6DB2F960"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2011" w:type="dxa"/>
            <w:tcBorders>
              <w:top w:val="nil"/>
              <w:left w:val="nil"/>
              <w:bottom w:val="single" w:sz="4" w:space="0" w:color="auto"/>
              <w:right w:val="single" w:sz="4" w:space="0" w:color="auto"/>
            </w:tcBorders>
            <w:shd w:val="clear" w:color="auto" w:fill="auto"/>
            <w:noWrap/>
          </w:tcPr>
          <w:p w14:paraId="7375711D" w14:textId="6A4C27FE"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r>
      <w:tr w:rsidR="008F4FA7" w:rsidRPr="00943E4B" w14:paraId="56B3566F" w14:textId="77777777" w:rsidTr="004E74B6">
        <w:trPr>
          <w:trHeight w:val="300"/>
          <w:jc w:val="center"/>
        </w:trPr>
        <w:tc>
          <w:tcPr>
            <w:tcW w:w="780" w:type="dxa"/>
            <w:noWrap/>
            <w:hideMark/>
          </w:tcPr>
          <w:p w14:paraId="2A1B242C" w14:textId="6DF090AE" w:rsidR="008F4FA7" w:rsidRPr="00FE46B5" w:rsidRDefault="008F4FA7" w:rsidP="008F4FA7">
            <w:pPr>
              <w:jc w:val="center"/>
              <w:rPr>
                <w:rFonts w:cs="Arial"/>
                <w:sz w:val="18"/>
                <w:szCs w:val="18"/>
              </w:rPr>
            </w:pPr>
            <w:r w:rsidRPr="00FE46B5">
              <w:rPr>
                <w:sz w:val="18"/>
                <w:szCs w:val="18"/>
              </w:rPr>
              <w:t>4</w:t>
            </w:r>
          </w:p>
        </w:tc>
        <w:tc>
          <w:tcPr>
            <w:tcW w:w="2005" w:type="dxa"/>
            <w:tcBorders>
              <w:top w:val="nil"/>
              <w:left w:val="single" w:sz="4" w:space="0" w:color="auto"/>
              <w:bottom w:val="single" w:sz="4" w:space="0" w:color="auto"/>
              <w:right w:val="single" w:sz="4" w:space="0" w:color="auto"/>
            </w:tcBorders>
            <w:shd w:val="clear" w:color="auto" w:fill="auto"/>
            <w:noWrap/>
          </w:tcPr>
          <w:p w14:paraId="6E47648E" w14:textId="0475C5FF"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1279" w:type="dxa"/>
            <w:tcBorders>
              <w:top w:val="nil"/>
              <w:left w:val="nil"/>
              <w:bottom w:val="single" w:sz="4" w:space="0" w:color="auto"/>
              <w:right w:val="single" w:sz="4" w:space="0" w:color="auto"/>
            </w:tcBorders>
            <w:shd w:val="clear" w:color="auto" w:fill="auto"/>
            <w:noWrap/>
          </w:tcPr>
          <w:p w14:paraId="43E97ABF" w14:textId="0E37B2A4"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2011" w:type="dxa"/>
            <w:tcBorders>
              <w:top w:val="nil"/>
              <w:left w:val="nil"/>
              <w:bottom w:val="single" w:sz="4" w:space="0" w:color="auto"/>
              <w:right w:val="single" w:sz="4" w:space="0" w:color="auto"/>
            </w:tcBorders>
            <w:shd w:val="clear" w:color="auto" w:fill="auto"/>
            <w:noWrap/>
          </w:tcPr>
          <w:p w14:paraId="6F16BF3C" w14:textId="55BECA3A"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r>
      <w:tr w:rsidR="008F4FA7" w:rsidRPr="00943E4B" w14:paraId="779A76CD" w14:textId="77777777" w:rsidTr="004E74B6">
        <w:trPr>
          <w:trHeight w:val="300"/>
          <w:jc w:val="center"/>
        </w:trPr>
        <w:tc>
          <w:tcPr>
            <w:tcW w:w="780" w:type="dxa"/>
            <w:noWrap/>
            <w:hideMark/>
          </w:tcPr>
          <w:p w14:paraId="3907C10F" w14:textId="28CDAC7D" w:rsidR="008F4FA7" w:rsidRPr="00FE46B5" w:rsidRDefault="008F4FA7" w:rsidP="008F4FA7">
            <w:pPr>
              <w:jc w:val="center"/>
              <w:rPr>
                <w:rFonts w:cs="Arial"/>
                <w:sz w:val="18"/>
                <w:szCs w:val="18"/>
              </w:rPr>
            </w:pPr>
            <w:r w:rsidRPr="00FE46B5">
              <w:rPr>
                <w:sz w:val="18"/>
                <w:szCs w:val="18"/>
              </w:rPr>
              <w:t>5</w:t>
            </w:r>
          </w:p>
        </w:tc>
        <w:tc>
          <w:tcPr>
            <w:tcW w:w="2005" w:type="dxa"/>
            <w:tcBorders>
              <w:top w:val="nil"/>
              <w:left w:val="single" w:sz="4" w:space="0" w:color="auto"/>
              <w:bottom w:val="single" w:sz="4" w:space="0" w:color="auto"/>
              <w:right w:val="single" w:sz="4" w:space="0" w:color="auto"/>
            </w:tcBorders>
            <w:shd w:val="clear" w:color="auto" w:fill="auto"/>
            <w:noWrap/>
          </w:tcPr>
          <w:p w14:paraId="79862307" w14:textId="768B97DB"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1279" w:type="dxa"/>
            <w:tcBorders>
              <w:top w:val="nil"/>
              <w:left w:val="nil"/>
              <w:bottom w:val="single" w:sz="4" w:space="0" w:color="auto"/>
              <w:right w:val="single" w:sz="4" w:space="0" w:color="auto"/>
            </w:tcBorders>
            <w:shd w:val="clear" w:color="auto" w:fill="auto"/>
            <w:noWrap/>
          </w:tcPr>
          <w:p w14:paraId="29FAC7CB" w14:textId="168A94C9"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2011" w:type="dxa"/>
            <w:tcBorders>
              <w:top w:val="nil"/>
              <w:left w:val="nil"/>
              <w:bottom w:val="single" w:sz="4" w:space="0" w:color="auto"/>
              <w:right w:val="single" w:sz="4" w:space="0" w:color="auto"/>
            </w:tcBorders>
            <w:shd w:val="clear" w:color="auto" w:fill="auto"/>
            <w:noWrap/>
          </w:tcPr>
          <w:p w14:paraId="14CF8127" w14:textId="0BDA30E0"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r>
      <w:tr w:rsidR="008F4FA7" w:rsidRPr="00943E4B" w14:paraId="6663010A" w14:textId="77777777" w:rsidTr="004E74B6">
        <w:trPr>
          <w:trHeight w:val="300"/>
          <w:jc w:val="center"/>
        </w:trPr>
        <w:tc>
          <w:tcPr>
            <w:tcW w:w="780" w:type="dxa"/>
            <w:noWrap/>
            <w:hideMark/>
          </w:tcPr>
          <w:p w14:paraId="7BCC9B2B" w14:textId="33A78C3D" w:rsidR="008F4FA7" w:rsidRPr="00FE46B5" w:rsidRDefault="008F4FA7" w:rsidP="008F4FA7">
            <w:pPr>
              <w:jc w:val="center"/>
              <w:rPr>
                <w:rFonts w:cs="Arial"/>
                <w:sz w:val="18"/>
                <w:szCs w:val="18"/>
              </w:rPr>
            </w:pPr>
            <w:r w:rsidRPr="00FE46B5">
              <w:rPr>
                <w:sz w:val="18"/>
                <w:szCs w:val="18"/>
              </w:rPr>
              <w:t>6</w:t>
            </w:r>
          </w:p>
        </w:tc>
        <w:tc>
          <w:tcPr>
            <w:tcW w:w="2005" w:type="dxa"/>
            <w:tcBorders>
              <w:top w:val="nil"/>
              <w:left w:val="single" w:sz="4" w:space="0" w:color="auto"/>
              <w:bottom w:val="single" w:sz="4" w:space="0" w:color="auto"/>
              <w:right w:val="single" w:sz="4" w:space="0" w:color="auto"/>
            </w:tcBorders>
            <w:shd w:val="clear" w:color="auto" w:fill="auto"/>
            <w:noWrap/>
          </w:tcPr>
          <w:p w14:paraId="7369B4D5" w14:textId="0FBC0B1D"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1279" w:type="dxa"/>
            <w:tcBorders>
              <w:top w:val="nil"/>
              <w:left w:val="nil"/>
              <w:bottom w:val="single" w:sz="4" w:space="0" w:color="auto"/>
              <w:right w:val="single" w:sz="4" w:space="0" w:color="auto"/>
            </w:tcBorders>
            <w:shd w:val="clear" w:color="auto" w:fill="auto"/>
            <w:noWrap/>
          </w:tcPr>
          <w:p w14:paraId="394B4518" w14:textId="45E6158A"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2011" w:type="dxa"/>
            <w:tcBorders>
              <w:top w:val="nil"/>
              <w:left w:val="nil"/>
              <w:bottom w:val="single" w:sz="4" w:space="0" w:color="auto"/>
              <w:right w:val="single" w:sz="4" w:space="0" w:color="auto"/>
            </w:tcBorders>
            <w:shd w:val="clear" w:color="auto" w:fill="auto"/>
            <w:noWrap/>
          </w:tcPr>
          <w:p w14:paraId="17A66AFC" w14:textId="0E1E7200"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r>
      <w:tr w:rsidR="008F4FA7" w:rsidRPr="00943E4B" w14:paraId="60AEDE8C" w14:textId="77777777" w:rsidTr="004E74B6">
        <w:trPr>
          <w:trHeight w:val="300"/>
          <w:jc w:val="center"/>
        </w:trPr>
        <w:tc>
          <w:tcPr>
            <w:tcW w:w="780" w:type="dxa"/>
            <w:noWrap/>
            <w:hideMark/>
          </w:tcPr>
          <w:p w14:paraId="7F2BBF03" w14:textId="0A363A7B" w:rsidR="008F4FA7" w:rsidRPr="00FE46B5" w:rsidRDefault="008F4FA7" w:rsidP="008F4FA7">
            <w:pPr>
              <w:jc w:val="center"/>
              <w:rPr>
                <w:rFonts w:cs="Arial"/>
                <w:sz w:val="18"/>
                <w:szCs w:val="18"/>
              </w:rPr>
            </w:pPr>
            <w:r w:rsidRPr="00FE46B5">
              <w:rPr>
                <w:sz w:val="18"/>
                <w:szCs w:val="18"/>
              </w:rPr>
              <w:t>7</w:t>
            </w:r>
          </w:p>
        </w:tc>
        <w:tc>
          <w:tcPr>
            <w:tcW w:w="2005" w:type="dxa"/>
            <w:tcBorders>
              <w:top w:val="nil"/>
              <w:left w:val="single" w:sz="4" w:space="0" w:color="auto"/>
              <w:bottom w:val="single" w:sz="4" w:space="0" w:color="auto"/>
              <w:right w:val="single" w:sz="4" w:space="0" w:color="auto"/>
            </w:tcBorders>
            <w:shd w:val="clear" w:color="auto" w:fill="auto"/>
            <w:noWrap/>
          </w:tcPr>
          <w:p w14:paraId="4C4BC2E3" w14:textId="5E064A06"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1279" w:type="dxa"/>
            <w:tcBorders>
              <w:top w:val="nil"/>
              <w:left w:val="nil"/>
              <w:bottom w:val="single" w:sz="4" w:space="0" w:color="auto"/>
              <w:right w:val="single" w:sz="4" w:space="0" w:color="auto"/>
            </w:tcBorders>
            <w:shd w:val="clear" w:color="auto" w:fill="auto"/>
            <w:noWrap/>
          </w:tcPr>
          <w:p w14:paraId="11804E6B" w14:textId="57D169D0"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2011" w:type="dxa"/>
            <w:tcBorders>
              <w:top w:val="nil"/>
              <w:left w:val="nil"/>
              <w:bottom w:val="single" w:sz="4" w:space="0" w:color="auto"/>
              <w:right w:val="single" w:sz="4" w:space="0" w:color="auto"/>
            </w:tcBorders>
            <w:shd w:val="clear" w:color="auto" w:fill="auto"/>
            <w:noWrap/>
          </w:tcPr>
          <w:p w14:paraId="024D0B15" w14:textId="6D461B2C"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r>
      <w:tr w:rsidR="008F4FA7" w:rsidRPr="00943E4B" w14:paraId="4A268234" w14:textId="77777777" w:rsidTr="004E74B6">
        <w:trPr>
          <w:trHeight w:val="300"/>
          <w:jc w:val="center"/>
        </w:trPr>
        <w:tc>
          <w:tcPr>
            <w:tcW w:w="780" w:type="dxa"/>
            <w:noWrap/>
            <w:hideMark/>
          </w:tcPr>
          <w:p w14:paraId="2F9C8A5D" w14:textId="432B10C6" w:rsidR="008F4FA7" w:rsidRPr="00FE46B5" w:rsidRDefault="008F4FA7" w:rsidP="008F4FA7">
            <w:pPr>
              <w:jc w:val="center"/>
              <w:rPr>
                <w:rFonts w:cs="Arial"/>
                <w:sz w:val="18"/>
                <w:szCs w:val="18"/>
              </w:rPr>
            </w:pPr>
            <w:r w:rsidRPr="00FE46B5">
              <w:rPr>
                <w:sz w:val="18"/>
                <w:szCs w:val="18"/>
              </w:rPr>
              <w:t>8</w:t>
            </w:r>
          </w:p>
        </w:tc>
        <w:tc>
          <w:tcPr>
            <w:tcW w:w="2005" w:type="dxa"/>
            <w:tcBorders>
              <w:top w:val="nil"/>
              <w:left w:val="single" w:sz="4" w:space="0" w:color="auto"/>
              <w:bottom w:val="single" w:sz="4" w:space="0" w:color="auto"/>
              <w:right w:val="single" w:sz="4" w:space="0" w:color="auto"/>
            </w:tcBorders>
            <w:shd w:val="clear" w:color="auto" w:fill="auto"/>
            <w:noWrap/>
          </w:tcPr>
          <w:p w14:paraId="2374D2AD" w14:textId="2AA22303"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1279" w:type="dxa"/>
            <w:tcBorders>
              <w:top w:val="nil"/>
              <w:left w:val="nil"/>
              <w:bottom w:val="single" w:sz="4" w:space="0" w:color="auto"/>
              <w:right w:val="single" w:sz="4" w:space="0" w:color="auto"/>
            </w:tcBorders>
            <w:shd w:val="clear" w:color="auto" w:fill="auto"/>
            <w:noWrap/>
          </w:tcPr>
          <w:p w14:paraId="53C2F5DD" w14:textId="698BCEC9"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2011" w:type="dxa"/>
            <w:tcBorders>
              <w:top w:val="nil"/>
              <w:left w:val="nil"/>
              <w:bottom w:val="single" w:sz="4" w:space="0" w:color="auto"/>
              <w:right w:val="single" w:sz="4" w:space="0" w:color="auto"/>
            </w:tcBorders>
            <w:shd w:val="clear" w:color="auto" w:fill="auto"/>
            <w:noWrap/>
          </w:tcPr>
          <w:p w14:paraId="795EEFE8" w14:textId="0D2C8938"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r>
      <w:tr w:rsidR="008F4FA7" w:rsidRPr="00943E4B" w14:paraId="01CBE0BF" w14:textId="77777777" w:rsidTr="004E74B6">
        <w:trPr>
          <w:trHeight w:val="300"/>
          <w:jc w:val="center"/>
        </w:trPr>
        <w:tc>
          <w:tcPr>
            <w:tcW w:w="780" w:type="dxa"/>
            <w:noWrap/>
            <w:hideMark/>
          </w:tcPr>
          <w:p w14:paraId="425DE686" w14:textId="409AA10A" w:rsidR="008F4FA7" w:rsidRPr="00FE46B5" w:rsidRDefault="008F4FA7" w:rsidP="008F4FA7">
            <w:pPr>
              <w:jc w:val="center"/>
              <w:rPr>
                <w:rFonts w:cs="Arial"/>
                <w:sz w:val="18"/>
                <w:szCs w:val="18"/>
              </w:rPr>
            </w:pPr>
            <w:r w:rsidRPr="00FE46B5">
              <w:rPr>
                <w:sz w:val="18"/>
                <w:szCs w:val="18"/>
              </w:rPr>
              <w:t>9</w:t>
            </w:r>
          </w:p>
        </w:tc>
        <w:tc>
          <w:tcPr>
            <w:tcW w:w="2005" w:type="dxa"/>
            <w:tcBorders>
              <w:top w:val="nil"/>
              <w:left w:val="single" w:sz="4" w:space="0" w:color="auto"/>
              <w:bottom w:val="single" w:sz="4" w:space="0" w:color="auto"/>
              <w:right w:val="single" w:sz="4" w:space="0" w:color="auto"/>
            </w:tcBorders>
            <w:shd w:val="clear" w:color="auto" w:fill="auto"/>
            <w:noWrap/>
          </w:tcPr>
          <w:p w14:paraId="27617028" w14:textId="2ECB5D2A"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1279" w:type="dxa"/>
            <w:tcBorders>
              <w:top w:val="nil"/>
              <w:left w:val="nil"/>
              <w:bottom w:val="single" w:sz="4" w:space="0" w:color="auto"/>
              <w:right w:val="single" w:sz="4" w:space="0" w:color="auto"/>
            </w:tcBorders>
            <w:shd w:val="clear" w:color="auto" w:fill="auto"/>
            <w:noWrap/>
          </w:tcPr>
          <w:p w14:paraId="60188153" w14:textId="2329B773"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2011" w:type="dxa"/>
            <w:tcBorders>
              <w:top w:val="nil"/>
              <w:left w:val="nil"/>
              <w:bottom w:val="single" w:sz="4" w:space="0" w:color="auto"/>
              <w:right w:val="single" w:sz="4" w:space="0" w:color="auto"/>
            </w:tcBorders>
            <w:shd w:val="clear" w:color="auto" w:fill="auto"/>
            <w:noWrap/>
          </w:tcPr>
          <w:p w14:paraId="27264258" w14:textId="044ACB3B"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r>
      <w:tr w:rsidR="008F4FA7" w:rsidRPr="00943E4B" w14:paraId="556FBA9B" w14:textId="77777777" w:rsidTr="004E74B6">
        <w:trPr>
          <w:trHeight w:val="300"/>
          <w:jc w:val="center"/>
        </w:trPr>
        <w:tc>
          <w:tcPr>
            <w:tcW w:w="780" w:type="dxa"/>
            <w:noWrap/>
            <w:hideMark/>
          </w:tcPr>
          <w:p w14:paraId="0579AA66" w14:textId="6DD117E3" w:rsidR="008F4FA7" w:rsidRPr="00FE46B5" w:rsidRDefault="008F4FA7" w:rsidP="008F4FA7">
            <w:pPr>
              <w:jc w:val="center"/>
              <w:rPr>
                <w:rFonts w:cs="Arial"/>
                <w:sz w:val="18"/>
                <w:szCs w:val="18"/>
              </w:rPr>
            </w:pPr>
            <w:r w:rsidRPr="00FE46B5">
              <w:rPr>
                <w:sz w:val="18"/>
                <w:szCs w:val="18"/>
              </w:rPr>
              <w:t>10</w:t>
            </w:r>
          </w:p>
        </w:tc>
        <w:tc>
          <w:tcPr>
            <w:tcW w:w="2005" w:type="dxa"/>
            <w:tcBorders>
              <w:top w:val="nil"/>
              <w:left w:val="single" w:sz="4" w:space="0" w:color="auto"/>
              <w:bottom w:val="single" w:sz="4" w:space="0" w:color="auto"/>
              <w:right w:val="single" w:sz="4" w:space="0" w:color="auto"/>
            </w:tcBorders>
            <w:shd w:val="clear" w:color="auto" w:fill="auto"/>
            <w:noWrap/>
          </w:tcPr>
          <w:p w14:paraId="278AC893" w14:textId="0C456D5A"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1279" w:type="dxa"/>
            <w:tcBorders>
              <w:top w:val="nil"/>
              <w:left w:val="nil"/>
              <w:bottom w:val="single" w:sz="4" w:space="0" w:color="auto"/>
              <w:right w:val="single" w:sz="4" w:space="0" w:color="auto"/>
            </w:tcBorders>
            <w:shd w:val="clear" w:color="auto" w:fill="auto"/>
            <w:noWrap/>
          </w:tcPr>
          <w:p w14:paraId="123D7EBF" w14:textId="5890E2AC"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c>
          <w:tcPr>
            <w:tcW w:w="2011" w:type="dxa"/>
            <w:tcBorders>
              <w:top w:val="nil"/>
              <w:left w:val="nil"/>
              <w:bottom w:val="single" w:sz="4" w:space="0" w:color="auto"/>
              <w:right w:val="single" w:sz="4" w:space="0" w:color="auto"/>
            </w:tcBorders>
            <w:shd w:val="clear" w:color="auto" w:fill="auto"/>
            <w:noWrap/>
          </w:tcPr>
          <w:p w14:paraId="5C341753" w14:textId="3081A808" w:rsidR="008F4FA7" w:rsidRPr="0097702D" w:rsidRDefault="008F4FA7" w:rsidP="008F4FA7">
            <w:pPr>
              <w:jc w:val="center"/>
              <w:rPr>
                <w:rFonts w:asciiTheme="majorHAnsi" w:hAnsiTheme="majorHAnsi" w:cstheme="majorHAnsi"/>
                <w:sz w:val="18"/>
                <w:szCs w:val="18"/>
              </w:rPr>
            </w:pPr>
            <w:r w:rsidRPr="003A7A3D">
              <w:rPr>
                <w:b/>
                <w:bCs/>
                <w:sz w:val="14"/>
                <w:szCs w:val="14"/>
              </w:rPr>
              <w:t>REDACTED</w:t>
            </w:r>
          </w:p>
        </w:tc>
      </w:tr>
    </w:tbl>
    <w:p w14:paraId="3A56C099" w14:textId="77777777" w:rsidR="00D4207A" w:rsidRPr="00943E4B" w:rsidRDefault="00D4207A" w:rsidP="00217F0E">
      <w:pPr>
        <w:rPr>
          <w:szCs w:val="24"/>
        </w:rPr>
      </w:pPr>
    </w:p>
    <w:p w14:paraId="2D2783D3" w14:textId="251C7871" w:rsidR="00877D9E" w:rsidRPr="00943E4B" w:rsidRDefault="00877D9E" w:rsidP="00877D9E">
      <w:pPr>
        <w:pStyle w:val="Caption"/>
        <w:keepNext/>
      </w:pPr>
      <w:bookmarkStart w:id="320" w:name="_Ref513786037"/>
      <w:bookmarkStart w:id="321" w:name="_Toc513710543"/>
      <w:bookmarkStart w:id="322" w:name="_Toc187234651"/>
      <w:r w:rsidRPr="00943E4B">
        <w:t xml:space="preserve">Table </w:t>
      </w:r>
      <w:r w:rsidR="00161C58" w:rsidRPr="00943E4B">
        <w:fldChar w:fldCharType="begin"/>
      </w:r>
      <w:r w:rsidR="00161C58" w:rsidRPr="00943E4B">
        <w:instrText xml:space="preserve"> STYLEREF 1 \s </w:instrText>
      </w:r>
      <w:r w:rsidR="00161C58" w:rsidRPr="00943E4B">
        <w:fldChar w:fldCharType="separate"/>
      </w:r>
      <w:r w:rsidR="00161C58">
        <w:rPr>
          <w:noProof/>
        </w:rPr>
        <w:t>II</w:t>
      </w:r>
      <w:r w:rsidR="00161C58" w:rsidRPr="00943E4B">
        <w:rPr>
          <w:noProof/>
        </w:rPr>
        <w:fldChar w:fldCharType="end"/>
      </w:r>
      <w:r w:rsidR="00922797" w:rsidRPr="00943E4B">
        <w:noBreakHyphen/>
      </w:r>
      <w:r w:rsidR="00161C58" w:rsidRPr="00943E4B">
        <w:fldChar w:fldCharType="begin"/>
      </w:r>
      <w:r w:rsidR="00161C58" w:rsidRPr="00943E4B">
        <w:instrText xml:space="preserve"> SEQ Table \* ARABIC \s 1 </w:instrText>
      </w:r>
      <w:r w:rsidR="00161C58" w:rsidRPr="00943E4B">
        <w:fldChar w:fldCharType="separate"/>
      </w:r>
      <w:r w:rsidR="00095413">
        <w:rPr>
          <w:noProof/>
        </w:rPr>
        <w:t>7</w:t>
      </w:r>
      <w:r w:rsidR="00161C58" w:rsidRPr="00943E4B">
        <w:rPr>
          <w:noProof/>
        </w:rPr>
        <w:fldChar w:fldCharType="end"/>
      </w:r>
      <w:bookmarkEnd w:id="320"/>
      <w:r w:rsidRPr="00943E4B">
        <w:t>. Production Cost Weighted Probability</w:t>
      </w:r>
      <w:bookmarkEnd w:id="321"/>
      <w:bookmarkEnd w:id="322"/>
    </w:p>
    <w:tbl>
      <w:tblPr>
        <w:tblStyle w:val="TableGrid"/>
        <w:tblW w:w="0" w:type="auto"/>
        <w:jc w:val="center"/>
        <w:tblLook w:val="04A0" w:firstRow="1" w:lastRow="0" w:firstColumn="1" w:lastColumn="0" w:noHBand="0" w:noVBand="1"/>
      </w:tblPr>
      <w:tblGrid>
        <w:gridCol w:w="1289"/>
        <w:gridCol w:w="1250"/>
        <w:gridCol w:w="1478"/>
        <w:gridCol w:w="1118"/>
        <w:gridCol w:w="1537"/>
        <w:gridCol w:w="2112"/>
      </w:tblGrid>
      <w:tr w:rsidR="00FE46B5" w:rsidRPr="00943E4B" w14:paraId="300830F5" w14:textId="77777777" w:rsidTr="004E74B6">
        <w:trPr>
          <w:trHeight w:val="900"/>
          <w:jc w:val="center"/>
        </w:trPr>
        <w:tc>
          <w:tcPr>
            <w:tcW w:w="1289" w:type="dxa"/>
            <w:hideMark/>
          </w:tcPr>
          <w:p w14:paraId="5FF9121D" w14:textId="40247FF7"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Data Set</w:t>
            </w:r>
          </w:p>
        </w:tc>
        <w:tc>
          <w:tcPr>
            <w:tcW w:w="1250" w:type="dxa"/>
            <w:hideMark/>
          </w:tcPr>
          <w:p w14:paraId="7138C1EB" w14:textId="71593FA4"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Probability</w:t>
            </w:r>
          </w:p>
        </w:tc>
        <w:tc>
          <w:tcPr>
            <w:tcW w:w="1478" w:type="dxa"/>
            <w:hideMark/>
          </w:tcPr>
          <w:p w14:paraId="297436FA" w14:textId="6DABFA3F"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Generation Costs ($M)</w:t>
            </w:r>
          </w:p>
        </w:tc>
        <w:tc>
          <w:tcPr>
            <w:tcW w:w="1118" w:type="dxa"/>
            <w:hideMark/>
          </w:tcPr>
          <w:p w14:paraId="6A6DF028" w14:textId="608DFB6A"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Purchase Cost ($M)</w:t>
            </w:r>
          </w:p>
        </w:tc>
        <w:tc>
          <w:tcPr>
            <w:tcW w:w="1537" w:type="dxa"/>
            <w:hideMark/>
          </w:tcPr>
          <w:p w14:paraId="16A3187C" w14:textId="21077250"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Total Production Cost ($M)</w:t>
            </w:r>
          </w:p>
        </w:tc>
        <w:tc>
          <w:tcPr>
            <w:tcW w:w="2112" w:type="dxa"/>
            <w:hideMark/>
          </w:tcPr>
          <w:p w14:paraId="09EEFA62" w14:textId="1DD67CC9" w:rsidR="00FE46B5" w:rsidRPr="00FE46B5" w:rsidRDefault="00FE46B5" w:rsidP="00FE46B5">
            <w:pPr>
              <w:jc w:val="center"/>
              <w:rPr>
                <w:rFonts w:asciiTheme="majorHAnsi" w:hAnsiTheme="majorHAnsi" w:cstheme="majorHAnsi"/>
                <w:b/>
                <w:bCs/>
                <w:sz w:val="18"/>
                <w:szCs w:val="18"/>
              </w:rPr>
            </w:pPr>
            <w:r w:rsidRPr="00FE46B5">
              <w:rPr>
                <w:rFonts w:asciiTheme="majorHAnsi" w:hAnsiTheme="majorHAnsi" w:cstheme="majorHAnsi"/>
                <w:b/>
                <w:bCs/>
                <w:sz w:val="18"/>
                <w:szCs w:val="18"/>
              </w:rPr>
              <w:t>Weighted Total Production Cost ($M)</w:t>
            </w:r>
          </w:p>
        </w:tc>
      </w:tr>
      <w:tr w:rsidR="008F4FA7" w:rsidRPr="00943E4B" w14:paraId="709F8D6C" w14:textId="77777777" w:rsidTr="004E74B6">
        <w:trPr>
          <w:trHeight w:val="300"/>
          <w:jc w:val="center"/>
        </w:trPr>
        <w:tc>
          <w:tcPr>
            <w:tcW w:w="1289" w:type="dxa"/>
            <w:noWrap/>
            <w:hideMark/>
          </w:tcPr>
          <w:p w14:paraId="454AF90D" w14:textId="1F7D036F"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1</w:t>
            </w:r>
          </w:p>
        </w:tc>
        <w:tc>
          <w:tcPr>
            <w:tcW w:w="1250" w:type="dxa"/>
            <w:tcBorders>
              <w:top w:val="single" w:sz="4" w:space="0" w:color="auto"/>
              <w:left w:val="single" w:sz="4" w:space="0" w:color="auto"/>
              <w:bottom w:val="single" w:sz="4" w:space="0" w:color="auto"/>
              <w:right w:val="single" w:sz="4" w:space="0" w:color="auto"/>
            </w:tcBorders>
            <w:shd w:val="clear" w:color="auto" w:fill="auto"/>
            <w:noWrap/>
          </w:tcPr>
          <w:p w14:paraId="68413D97" w14:textId="21B4140D" w:rsidR="008F4FA7" w:rsidRPr="0097702D" w:rsidRDefault="008F4FA7" w:rsidP="008F4FA7">
            <w:pPr>
              <w:jc w:val="center"/>
              <w:rPr>
                <w:rFonts w:asciiTheme="majorHAnsi" w:hAnsiTheme="majorHAnsi" w:cstheme="majorHAnsi"/>
                <w:sz w:val="18"/>
                <w:szCs w:val="18"/>
              </w:rPr>
            </w:pPr>
            <w:r w:rsidRPr="0097702D">
              <w:rPr>
                <w:sz w:val="18"/>
                <w:szCs w:val="18"/>
              </w:rPr>
              <w:t>0.002222</w:t>
            </w:r>
          </w:p>
        </w:tc>
        <w:tc>
          <w:tcPr>
            <w:tcW w:w="1478" w:type="dxa"/>
            <w:noWrap/>
          </w:tcPr>
          <w:p w14:paraId="29E4A9D7" w14:textId="1048AEF2"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118" w:type="dxa"/>
            <w:noWrap/>
          </w:tcPr>
          <w:p w14:paraId="44546ABB" w14:textId="15697FF4"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537" w:type="dxa"/>
            <w:noWrap/>
          </w:tcPr>
          <w:p w14:paraId="758F68AA" w14:textId="268C57A5" w:rsidR="008F4FA7" w:rsidRPr="0097702D" w:rsidRDefault="008F4FA7" w:rsidP="008F4FA7">
            <w:pPr>
              <w:jc w:val="center"/>
              <w:rPr>
                <w:rFonts w:asciiTheme="majorHAnsi" w:hAnsiTheme="majorHAnsi" w:cstheme="majorHAnsi"/>
                <w:sz w:val="18"/>
                <w:szCs w:val="18"/>
              </w:rPr>
            </w:pPr>
            <w:r w:rsidRPr="0097702D">
              <w:rPr>
                <w:sz w:val="18"/>
                <w:szCs w:val="18"/>
              </w:rPr>
              <w:t xml:space="preserve"> 5,663.96 </w:t>
            </w:r>
          </w:p>
        </w:tc>
        <w:tc>
          <w:tcPr>
            <w:tcW w:w="2112" w:type="dxa"/>
            <w:noWrap/>
          </w:tcPr>
          <w:p w14:paraId="19AF2EB5" w14:textId="52E3B94A" w:rsidR="008F4FA7" w:rsidRPr="0097702D" w:rsidRDefault="008F4FA7" w:rsidP="008F4FA7">
            <w:pPr>
              <w:jc w:val="center"/>
              <w:rPr>
                <w:rFonts w:asciiTheme="majorHAnsi" w:hAnsiTheme="majorHAnsi" w:cstheme="majorHAnsi"/>
                <w:sz w:val="18"/>
                <w:szCs w:val="18"/>
              </w:rPr>
            </w:pPr>
            <w:r w:rsidRPr="0097702D">
              <w:rPr>
                <w:sz w:val="18"/>
                <w:szCs w:val="18"/>
              </w:rPr>
              <w:t xml:space="preserve"> 12.59 </w:t>
            </w:r>
          </w:p>
        </w:tc>
      </w:tr>
      <w:tr w:rsidR="008F4FA7" w:rsidRPr="00943E4B" w14:paraId="5F19FDC0" w14:textId="77777777" w:rsidTr="004E74B6">
        <w:trPr>
          <w:trHeight w:val="300"/>
          <w:jc w:val="center"/>
        </w:trPr>
        <w:tc>
          <w:tcPr>
            <w:tcW w:w="1289" w:type="dxa"/>
            <w:noWrap/>
            <w:hideMark/>
          </w:tcPr>
          <w:p w14:paraId="340166DD" w14:textId="42B19180"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2</w:t>
            </w:r>
          </w:p>
        </w:tc>
        <w:tc>
          <w:tcPr>
            <w:tcW w:w="1250" w:type="dxa"/>
            <w:tcBorders>
              <w:top w:val="nil"/>
              <w:left w:val="single" w:sz="4" w:space="0" w:color="auto"/>
              <w:bottom w:val="single" w:sz="4" w:space="0" w:color="auto"/>
              <w:right w:val="single" w:sz="4" w:space="0" w:color="auto"/>
            </w:tcBorders>
            <w:shd w:val="clear" w:color="auto" w:fill="auto"/>
            <w:noWrap/>
          </w:tcPr>
          <w:p w14:paraId="34D4053A" w14:textId="3A43CE3E" w:rsidR="008F4FA7" w:rsidRPr="0097702D" w:rsidRDefault="008F4FA7" w:rsidP="008F4FA7">
            <w:pPr>
              <w:jc w:val="center"/>
              <w:rPr>
                <w:rFonts w:asciiTheme="majorHAnsi" w:hAnsiTheme="majorHAnsi" w:cstheme="majorHAnsi"/>
                <w:sz w:val="18"/>
                <w:szCs w:val="18"/>
              </w:rPr>
            </w:pPr>
            <w:r w:rsidRPr="0097702D">
              <w:rPr>
                <w:sz w:val="18"/>
                <w:szCs w:val="18"/>
              </w:rPr>
              <w:t>0.001101</w:t>
            </w:r>
          </w:p>
        </w:tc>
        <w:tc>
          <w:tcPr>
            <w:tcW w:w="1478" w:type="dxa"/>
            <w:noWrap/>
          </w:tcPr>
          <w:p w14:paraId="44D94CD9" w14:textId="048641F6"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118" w:type="dxa"/>
            <w:noWrap/>
          </w:tcPr>
          <w:p w14:paraId="5F66054F" w14:textId="40A69010"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537" w:type="dxa"/>
            <w:noWrap/>
          </w:tcPr>
          <w:p w14:paraId="67E697CA" w14:textId="674D7180" w:rsidR="008F4FA7" w:rsidRPr="0097702D" w:rsidRDefault="008F4FA7" w:rsidP="008F4FA7">
            <w:pPr>
              <w:jc w:val="center"/>
              <w:rPr>
                <w:rFonts w:asciiTheme="majorHAnsi" w:hAnsiTheme="majorHAnsi" w:cstheme="majorHAnsi"/>
                <w:sz w:val="18"/>
                <w:szCs w:val="18"/>
              </w:rPr>
            </w:pPr>
            <w:r w:rsidRPr="0097702D">
              <w:rPr>
                <w:sz w:val="18"/>
                <w:szCs w:val="18"/>
              </w:rPr>
              <w:t xml:space="preserve"> 5,647.90 </w:t>
            </w:r>
          </w:p>
        </w:tc>
        <w:tc>
          <w:tcPr>
            <w:tcW w:w="2112" w:type="dxa"/>
            <w:noWrap/>
          </w:tcPr>
          <w:p w14:paraId="145A1666" w14:textId="4F862C80" w:rsidR="008F4FA7" w:rsidRPr="0097702D" w:rsidRDefault="008F4FA7" w:rsidP="008F4FA7">
            <w:pPr>
              <w:jc w:val="center"/>
              <w:rPr>
                <w:rFonts w:asciiTheme="majorHAnsi" w:hAnsiTheme="majorHAnsi" w:cstheme="majorHAnsi"/>
                <w:sz w:val="18"/>
                <w:szCs w:val="18"/>
              </w:rPr>
            </w:pPr>
            <w:r w:rsidRPr="0097702D">
              <w:rPr>
                <w:sz w:val="18"/>
                <w:szCs w:val="18"/>
              </w:rPr>
              <w:t xml:space="preserve"> 6.22 </w:t>
            </w:r>
          </w:p>
        </w:tc>
      </w:tr>
      <w:tr w:rsidR="008F4FA7" w:rsidRPr="00943E4B" w14:paraId="4787EC94" w14:textId="77777777" w:rsidTr="004E74B6">
        <w:trPr>
          <w:trHeight w:val="300"/>
          <w:jc w:val="center"/>
        </w:trPr>
        <w:tc>
          <w:tcPr>
            <w:tcW w:w="1289" w:type="dxa"/>
            <w:noWrap/>
            <w:hideMark/>
          </w:tcPr>
          <w:p w14:paraId="03289F85" w14:textId="3D94284E"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3</w:t>
            </w:r>
          </w:p>
        </w:tc>
        <w:tc>
          <w:tcPr>
            <w:tcW w:w="1250" w:type="dxa"/>
            <w:tcBorders>
              <w:top w:val="nil"/>
              <w:left w:val="single" w:sz="4" w:space="0" w:color="auto"/>
              <w:bottom w:val="single" w:sz="4" w:space="0" w:color="auto"/>
              <w:right w:val="single" w:sz="4" w:space="0" w:color="auto"/>
            </w:tcBorders>
            <w:shd w:val="clear" w:color="auto" w:fill="auto"/>
            <w:noWrap/>
          </w:tcPr>
          <w:p w14:paraId="487C72F4" w14:textId="0914D70A" w:rsidR="008F4FA7" w:rsidRPr="0097702D" w:rsidRDefault="008F4FA7" w:rsidP="008F4FA7">
            <w:pPr>
              <w:jc w:val="center"/>
              <w:rPr>
                <w:rFonts w:asciiTheme="majorHAnsi" w:hAnsiTheme="majorHAnsi" w:cstheme="majorHAnsi"/>
                <w:sz w:val="18"/>
                <w:szCs w:val="18"/>
              </w:rPr>
            </w:pPr>
            <w:r w:rsidRPr="0097702D">
              <w:rPr>
                <w:sz w:val="18"/>
                <w:szCs w:val="18"/>
              </w:rPr>
              <w:t>0.003333</w:t>
            </w:r>
          </w:p>
        </w:tc>
        <w:tc>
          <w:tcPr>
            <w:tcW w:w="1478" w:type="dxa"/>
            <w:noWrap/>
          </w:tcPr>
          <w:p w14:paraId="6952D8FA" w14:textId="00CC7677"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118" w:type="dxa"/>
            <w:noWrap/>
          </w:tcPr>
          <w:p w14:paraId="2A5AD39A" w14:textId="5AD6913B"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537" w:type="dxa"/>
            <w:noWrap/>
          </w:tcPr>
          <w:p w14:paraId="79747A2E" w14:textId="6BBF4432" w:rsidR="008F4FA7" w:rsidRPr="0097702D" w:rsidRDefault="008F4FA7" w:rsidP="008F4FA7">
            <w:pPr>
              <w:jc w:val="center"/>
              <w:rPr>
                <w:rFonts w:asciiTheme="majorHAnsi" w:hAnsiTheme="majorHAnsi" w:cstheme="majorHAnsi"/>
                <w:sz w:val="18"/>
                <w:szCs w:val="18"/>
              </w:rPr>
            </w:pPr>
            <w:r w:rsidRPr="0097702D">
              <w:rPr>
                <w:sz w:val="18"/>
                <w:szCs w:val="18"/>
              </w:rPr>
              <w:t xml:space="preserve"> 6,057.14 </w:t>
            </w:r>
          </w:p>
        </w:tc>
        <w:tc>
          <w:tcPr>
            <w:tcW w:w="2112" w:type="dxa"/>
            <w:noWrap/>
          </w:tcPr>
          <w:p w14:paraId="0480429B" w14:textId="0328D9F0" w:rsidR="008F4FA7" w:rsidRPr="0097702D" w:rsidRDefault="008F4FA7" w:rsidP="008F4FA7">
            <w:pPr>
              <w:jc w:val="center"/>
              <w:rPr>
                <w:rFonts w:asciiTheme="majorHAnsi" w:hAnsiTheme="majorHAnsi" w:cstheme="majorHAnsi"/>
                <w:sz w:val="18"/>
                <w:szCs w:val="18"/>
              </w:rPr>
            </w:pPr>
            <w:r w:rsidRPr="0097702D">
              <w:rPr>
                <w:sz w:val="18"/>
                <w:szCs w:val="18"/>
              </w:rPr>
              <w:t xml:space="preserve"> 20.19 </w:t>
            </w:r>
          </w:p>
        </w:tc>
      </w:tr>
      <w:tr w:rsidR="008F4FA7" w:rsidRPr="00943E4B" w14:paraId="020872FA" w14:textId="77777777" w:rsidTr="004E74B6">
        <w:trPr>
          <w:trHeight w:val="300"/>
          <w:jc w:val="center"/>
        </w:trPr>
        <w:tc>
          <w:tcPr>
            <w:tcW w:w="1289" w:type="dxa"/>
            <w:noWrap/>
            <w:hideMark/>
          </w:tcPr>
          <w:p w14:paraId="448BD36A" w14:textId="3D2FDF69"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4</w:t>
            </w:r>
          </w:p>
        </w:tc>
        <w:tc>
          <w:tcPr>
            <w:tcW w:w="1250" w:type="dxa"/>
            <w:tcBorders>
              <w:top w:val="nil"/>
              <w:left w:val="single" w:sz="4" w:space="0" w:color="auto"/>
              <w:bottom w:val="single" w:sz="4" w:space="0" w:color="auto"/>
              <w:right w:val="single" w:sz="4" w:space="0" w:color="auto"/>
            </w:tcBorders>
            <w:shd w:val="clear" w:color="auto" w:fill="auto"/>
            <w:noWrap/>
          </w:tcPr>
          <w:p w14:paraId="433A67B1" w14:textId="3CB9AC91" w:rsidR="008F4FA7" w:rsidRPr="0097702D" w:rsidRDefault="008F4FA7" w:rsidP="008F4FA7">
            <w:pPr>
              <w:jc w:val="center"/>
              <w:rPr>
                <w:rFonts w:asciiTheme="majorHAnsi" w:hAnsiTheme="majorHAnsi" w:cstheme="majorHAnsi"/>
                <w:sz w:val="18"/>
                <w:szCs w:val="18"/>
              </w:rPr>
            </w:pPr>
            <w:r w:rsidRPr="0097702D">
              <w:rPr>
                <w:sz w:val="18"/>
                <w:szCs w:val="18"/>
              </w:rPr>
              <w:t>0.002222</w:t>
            </w:r>
          </w:p>
        </w:tc>
        <w:tc>
          <w:tcPr>
            <w:tcW w:w="1478" w:type="dxa"/>
            <w:noWrap/>
          </w:tcPr>
          <w:p w14:paraId="32A8D781" w14:textId="1B639BF0"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118" w:type="dxa"/>
            <w:noWrap/>
          </w:tcPr>
          <w:p w14:paraId="1260406A" w14:textId="176CB674"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537" w:type="dxa"/>
            <w:noWrap/>
          </w:tcPr>
          <w:p w14:paraId="1193E01A" w14:textId="0EBEF58C" w:rsidR="008F4FA7" w:rsidRPr="0097702D" w:rsidRDefault="008F4FA7" w:rsidP="008F4FA7">
            <w:pPr>
              <w:jc w:val="center"/>
              <w:rPr>
                <w:rFonts w:asciiTheme="majorHAnsi" w:hAnsiTheme="majorHAnsi" w:cstheme="majorHAnsi"/>
                <w:sz w:val="18"/>
                <w:szCs w:val="18"/>
              </w:rPr>
            </w:pPr>
            <w:r w:rsidRPr="0097702D">
              <w:rPr>
                <w:sz w:val="18"/>
                <w:szCs w:val="18"/>
              </w:rPr>
              <w:t xml:space="preserve"> 5,288.51 </w:t>
            </w:r>
          </w:p>
        </w:tc>
        <w:tc>
          <w:tcPr>
            <w:tcW w:w="2112" w:type="dxa"/>
            <w:noWrap/>
          </w:tcPr>
          <w:p w14:paraId="710904C2" w14:textId="537FDF4E" w:rsidR="008F4FA7" w:rsidRPr="0097702D" w:rsidRDefault="008F4FA7" w:rsidP="008F4FA7">
            <w:pPr>
              <w:jc w:val="center"/>
              <w:rPr>
                <w:rFonts w:asciiTheme="majorHAnsi" w:hAnsiTheme="majorHAnsi" w:cstheme="majorHAnsi"/>
                <w:sz w:val="18"/>
                <w:szCs w:val="18"/>
              </w:rPr>
            </w:pPr>
            <w:r w:rsidRPr="0097702D">
              <w:rPr>
                <w:sz w:val="18"/>
                <w:szCs w:val="18"/>
              </w:rPr>
              <w:t xml:space="preserve"> 11.75 </w:t>
            </w:r>
          </w:p>
        </w:tc>
      </w:tr>
      <w:tr w:rsidR="008F4FA7" w:rsidRPr="00943E4B" w14:paraId="30FA8B30" w14:textId="77777777" w:rsidTr="004E74B6">
        <w:trPr>
          <w:trHeight w:val="300"/>
          <w:jc w:val="center"/>
        </w:trPr>
        <w:tc>
          <w:tcPr>
            <w:tcW w:w="1289" w:type="dxa"/>
            <w:noWrap/>
            <w:hideMark/>
          </w:tcPr>
          <w:p w14:paraId="192F94E6" w14:textId="1C8931ED"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5</w:t>
            </w:r>
          </w:p>
        </w:tc>
        <w:tc>
          <w:tcPr>
            <w:tcW w:w="1250" w:type="dxa"/>
            <w:tcBorders>
              <w:top w:val="nil"/>
              <w:left w:val="single" w:sz="4" w:space="0" w:color="auto"/>
              <w:bottom w:val="single" w:sz="4" w:space="0" w:color="auto"/>
              <w:right w:val="single" w:sz="4" w:space="0" w:color="auto"/>
            </w:tcBorders>
            <w:shd w:val="clear" w:color="auto" w:fill="auto"/>
            <w:noWrap/>
          </w:tcPr>
          <w:p w14:paraId="516FF840" w14:textId="70FE37F2" w:rsidR="008F4FA7" w:rsidRPr="0097702D" w:rsidRDefault="008F4FA7" w:rsidP="008F4FA7">
            <w:pPr>
              <w:jc w:val="center"/>
              <w:rPr>
                <w:rFonts w:asciiTheme="majorHAnsi" w:hAnsiTheme="majorHAnsi" w:cstheme="majorHAnsi"/>
                <w:sz w:val="18"/>
                <w:szCs w:val="18"/>
              </w:rPr>
            </w:pPr>
            <w:r w:rsidRPr="0097702D">
              <w:rPr>
                <w:sz w:val="18"/>
                <w:szCs w:val="18"/>
              </w:rPr>
              <w:t>0.002232</w:t>
            </w:r>
          </w:p>
        </w:tc>
        <w:tc>
          <w:tcPr>
            <w:tcW w:w="1478" w:type="dxa"/>
            <w:noWrap/>
          </w:tcPr>
          <w:p w14:paraId="4F937EAC" w14:textId="66ECE6D2"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118" w:type="dxa"/>
            <w:noWrap/>
          </w:tcPr>
          <w:p w14:paraId="686F7B00" w14:textId="5FF6E2E4"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537" w:type="dxa"/>
            <w:noWrap/>
          </w:tcPr>
          <w:p w14:paraId="17CEAC22" w14:textId="2B2D2C22" w:rsidR="008F4FA7" w:rsidRPr="0097702D" w:rsidRDefault="008F4FA7" w:rsidP="008F4FA7">
            <w:pPr>
              <w:jc w:val="center"/>
              <w:rPr>
                <w:rFonts w:asciiTheme="majorHAnsi" w:hAnsiTheme="majorHAnsi" w:cstheme="majorHAnsi"/>
                <w:sz w:val="18"/>
                <w:szCs w:val="18"/>
              </w:rPr>
            </w:pPr>
            <w:r w:rsidRPr="0097702D">
              <w:rPr>
                <w:sz w:val="18"/>
                <w:szCs w:val="18"/>
              </w:rPr>
              <w:t xml:space="preserve"> 6,036.43 </w:t>
            </w:r>
          </w:p>
        </w:tc>
        <w:tc>
          <w:tcPr>
            <w:tcW w:w="2112" w:type="dxa"/>
            <w:noWrap/>
          </w:tcPr>
          <w:p w14:paraId="6EAE54DD" w14:textId="2A34509E" w:rsidR="008F4FA7" w:rsidRPr="0097702D" w:rsidRDefault="008F4FA7" w:rsidP="008F4FA7">
            <w:pPr>
              <w:jc w:val="center"/>
              <w:rPr>
                <w:rFonts w:asciiTheme="majorHAnsi" w:hAnsiTheme="majorHAnsi" w:cstheme="majorHAnsi"/>
                <w:sz w:val="18"/>
                <w:szCs w:val="18"/>
              </w:rPr>
            </w:pPr>
            <w:r w:rsidRPr="0097702D">
              <w:rPr>
                <w:sz w:val="18"/>
                <w:szCs w:val="18"/>
              </w:rPr>
              <w:t xml:space="preserve"> 13.47 </w:t>
            </w:r>
          </w:p>
        </w:tc>
      </w:tr>
      <w:tr w:rsidR="008F4FA7" w:rsidRPr="00943E4B" w14:paraId="4A1901B9" w14:textId="77777777" w:rsidTr="004E74B6">
        <w:trPr>
          <w:trHeight w:val="300"/>
          <w:jc w:val="center"/>
        </w:trPr>
        <w:tc>
          <w:tcPr>
            <w:tcW w:w="1289" w:type="dxa"/>
            <w:noWrap/>
            <w:hideMark/>
          </w:tcPr>
          <w:p w14:paraId="16BA6F4E" w14:textId="2F91B176"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6</w:t>
            </w:r>
          </w:p>
        </w:tc>
        <w:tc>
          <w:tcPr>
            <w:tcW w:w="1250" w:type="dxa"/>
            <w:tcBorders>
              <w:top w:val="single" w:sz="4" w:space="0" w:color="auto"/>
              <w:left w:val="single" w:sz="4" w:space="0" w:color="auto"/>
              <w:bottom w:val="single" w:sz="4" w:space="0" w:color="auto"/>
              <w:right w:val="single" w:sz="4" w:space="0" w:color="auto"/>
            </w:tcBorders>
            <w:shd w:val="clear" w:color="auto" w:fill="auto"/>
            <w:noWrap/>
          </w:tcPr>
          <w:p w14:paraId="094CC607" w14:textId="5473DD3F" w:rsidR="008F4FA7" w:rsidRPr="0097702D" w:rsidRDefault="008F4FA7" w:rsidP="008F4FA7">
            <w:pPr>
              <w:jc w:val="center"/>
              <w:rPr>
                <w:rFonts w:asciiTheme="majorHAnsi" w:hAnsiTheme="majorHAnsi" w:cstheme="majorHAnsi"/>
                <w:sz w:val="18"/>
                <w:szCs w:val="18"/>
              </w:rPr>
            </w:pPr>
            <w:r w:rsidRPr="0097702D">
              <w:rPr>
                <w:sz w:val="18"/>
                <w:szCs w:val="18"/>
              </w:rPr>
              <w:t>0.001101</w:t>
            </w:r>
          </w:p>
        </w:tc>
        <w:tc>
          <w:tcPr>
            <w:tcW w:w="1478" w:type="dxa"/>
            <w:noWrap/>
          </w:tcPr>
          <w:p w14:paraId="6155A0FB" w14:textId="6247F411"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118" w:type="dxa"/>
            <w:noWrap/>
          </w:tcPr>
          <w:p w14:paraId="2D0D9DFE" w14:textId="35F0E4D7"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537" w:type="dxa"/>
            <w:noWrap/>
          </w:tcPr>
          <w:p w14:paraId="7E72E6D2" w14:textId="03F6F9B0" w:rsidR="008F4FA7" w:rsidRPr="0097702D" w:rsidRDefault="008F4FA7" w:rsidP="008F4FA7">
            <w:pPr>
              <w:jc w:val="center"/>
              <w:rPr>
                <w:rFonts w:asciiTheme="majorHAnsi" w:hAnsiTheme="majorHAnsi" w:cstheme="majorHAnsi"/>
                <w:sz w:val="18"/>
                <w:szCs w:val="18"/>
              </w:rPr>
            </w:pPr>
            <w:r w:rsidRPr="0097702D">
              <w:rPr>
                <w:sz w:val="18"/>
                <w:szCs w:val="18"/>
              </w:rPr>
              <w:t xml:space="preserve"> 5,290.16 </w:t>
            </w:r>
          </w:p>
        </w:tc>
        <w:tc>
          <w:tcPr>
            <w:tcW w:w="2112" w:type="dxa"/>
            <w:noWrap/>
          </w:tcPr>
          <w:p w14:paraId="190E066B" w14:textId="7D388F30" w:rsidR="008F4FA7" w:rsidRPr="0097702D" w:rsidRDefault="008F4FA7" w:rsidP="008F4FA7">
            <w:pPr>
              <w:jc w:val="center"/>
              <w:rPr>
                <w:rFonts w:asciiTheme="majorHAnsi" w:hAnsiTheme="majorHAnsi" w:cstheme="majorHAnsi"/>
                <w:sz w:val="18"/>
                <w:szCs w:val="18"/>
              </w:rPr>
            </w:pPr>
            <w:r w:rsidRPr="0097702D">
              <w:rPr>
                <w:sz w:val="18"/>
                <w:szCs w:val="18"/>
              </w:rPr>
              <w:t xml:space="preserve"> 5.82 </w:t>
            </w:r>
          </w:p>
        </w:tc>
      </w:tr>
      <w:tr w:rsidR="008F4FA7" w:rsidRPr="00943E4B" w14:paraId="06E79DB8" w14:textId="77777777" w:rsidTr="004E74B6">
        <w:trPr>
          <w:trHeight w:val="300"/>
          <w:jc w:val="center"/>
        </w:trPr>
        <w:tc>
          <w:tcPr>
            <w:tcW w:w="1289" w:type="dxa"/>
            <w:noWrap/>
            <w:hideMark/>
          </w:tcPr>
          <w:p w14:paraId="3C6401A8" w14:textId="4FF7E1FD"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7</w:t>
            </w:r>
          </w:p>
        </w:tc>
        <w:tc>
          <w:tcPr>
            <w:tcW w:w="1250" w:type="dxa"/>
            <w:tcBorders>
              <w:top w:val="nil"/>
              <w:left w:val="single" w:sz="4" w:space="0" w:color="auto"/>
              <w:bottom w:val="single" w:sz="4" w:space="0" w:color="auto"/>
              <w:right w:val="single" w:sz="4" w:space="0" w:color="auto"/>
            </w:tcBorders>
            <w:shd w:val="clear" w:color="auto" w:fill="auto"/>
            <w:noWrap/>
          </w:tcPr>
          <w:p w14:paraId="63A04FA3" w14:textId="3377A804" w:rsidR="008F4FA7" w:rsidRPr="0097702D" w:rsidRDefault="008F4FA7" w:rsidP="008F4FA7">
            <w:pPr>
              <w:jc w:val="center"/>
              <w:rPr>
                <w:rFonts w:asciiTheme="majorHAnsi" w:hAnsiTheme="majorHAnsi" w:cstheme="majorHAnsi"/>
                <w:sz w:val="18"/>
                <w:szCs w:val="18"/>
              </w:rPr>
            </w:pPr>
            <w:r w:rsidRPr="0097702D">
              <w:rPr>
                <w:sz w:val="18"/>
                <w:szCs w:val="18"/>
              </w:rPr>
              <w:t>0.003333</w:t>
            </w:r>
          </w:p>
        </w:tc>
        <w:tc>
          <w:tcPr>
            <w:tcW w:w="1478" w:type="dxa"/>
            <w:noWrap/>
          </w:tcPr>
          <w:p w14:paraId="181C169B" w14:textId="110CAEDE"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118" w:type="dxa"/>
            <w:noWrap/>
          </w:tcPr>
          <w:p w14:paraId="089BEB7D" w14:textId="779EDCD4"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537" w:type="dxa"/>
            <w:noWrap/>
          </w:tcPr>
          <w:p w14:paraId="60A5D035" w14:textId="343D91EF" w:rsidR="008F4FA7" w:rsidRPr="0097702D" w:rsidRDefault="008F4FA7" w:rsidP="008F4FA7">
            <w:pPr>
              <w:jc w:val="center"/>
              <w:rPr>
                <w:rFonts w:asciiTheme="majorHAnsi" w:hAnsiTheme="majorHAnsi" w:cstheme="majorHAnsi"/>
                <w:sz w:val="18"/>
                <w:szCs w:val="18"/>
              </w:rPr>
            </w:pPr>
            <w:r w:rsidRPr="0097702D">
              <w:rPr>
                <w:sz w:val="18"/>
                <w:szCs w:val="18"/>
              </w:rPr>
              <w:t xml:space="preserve"> 5,792.06 </w:t>
            </w:r>
          </w:p>
        </w:tc>
        <w:tc>
          <w:tcPr>
            <w:tcW w:w="2112" w:type="dxa"/>
            <w:noWrap/>
          </w:tcPr>
          <w:p w14:paraId="54316B20" w14:textId="59044E01" w:rsidR="008F4FA7" w:rsidRPr="0097702D" w:rsidRDefault="008F4FA7" w:rsidP="008F4FA7">
            <w:pPr>
              <w:jc w:val="center"/>
              <w:rPr>
                <w:rFonts w:asciiTheme="majorHAnsi" w:hAnsiTheme="majorHAnsi" w:cstheme="majorHAnsi"/>
                <w:sz w:val="18"/>
                <w:szCs w:val="18"/>
              </w:rPr>
            </w:pPr>
            <w:r w:rsidRPr="0097702D">
              <w:rPr>
                <w:sz w:val="18"/>
                <w:szCs w:val="18"/>
              </w:rPr>
              <w:t xml:space="preserve"> 19.30 </w:t>
            </w:r>
          </w:p>
        </w:tc>
      </w:tr>
      <w:tr w:rsidR="008F4FA7" w:rsidRPr="00943E4B" w14:paraId="5A8EC927" w14:textId="77777777" w:rsidTr="004E74B6">
        <w:trPr>
          <w:trHeight w:val="300"/>
          <w:jc w:val="center"/>
        </w:trPr>
        <w:tc>
          <w:tcPr>
            <w:tcW w:w="1289" w:type="dxa"/>
            <w:noWrap/>
            <w:hideMark/>
          </w:tcPr>
          <w:p w14:paraId="7E9A4F51" w14:textId="35539F7B"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8</w:t>
            </w:r>
          </w:p>
        </w:tc>
        <w:tc>
          <w:tcPr>
            <w:tcW w:w="1250" w:type="dxa"/>
            <w:tcBorders>
              <w:top w:val="nil"/>
              <w:left w:val="single" w:sz="4" w:space="0" w:color="auto"/>
              <w:bottom w:val="single" w:sz="4" w:space="0" w:color="auto"/>
              <w:right w:val="single" w:sz="4" w:space="0" w:color="auto"/>
            </w:tcBorders>
            <w:shd w:val="clear" w:color="auto" w:fill="auto"/>
            <w:noWrap/>
          </w:tcPr>
          <w:p w14:paraId="00E1CE77" w14:textId="1FF5E3E0" w:rsidR="008F4FA7" w:rsidRPr="0097702D" w:rsidRDefault="008F4FA7" w:rsidP="008F4FA7">
            <w:pPr>
              <w:jc w:val="center"/>
              <w:rPr>
                <w:rFonts w:asciiTheme="majorHAnsi" w:hAnsiTheme="majorHAnsi" w:cstheme="majorHAnsi"/>
                <w:sz w:val="18"/>
                <w:szCs w:val="18"/>
              </w:rPr>
            </w:pPr>
            <w:r w:rsidRPr="0097702D">
              <w:rPr>
                <w:sz w:val="18"/>
                <w:szCs w:val="18"/>
              </w:rPr>
              <w:t>0.002222</w:t>
            </w:r>
          </w:p>
        </w:tc>
        <w:tc>
          <w:tcPr>
            <w:tcW w:w="1478" w:type="dxa"/>
            <w:noWrap/>
          </w:tcPr>
          <w:p w14:paraId="71BA5E67" w14:textId="5E24DD20"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118" w:type="dxa"/>
            <w:noWrap/>
          </w:tcPr>
          <w:p w14:paraId="15C497F2" w14:textId="74AFA644"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537" w:type="dxa"/>
            <w:noWrap/>
          </w:tcPr>
          <w:p w14:paraId="3205EDF7" w14:textId="222DA936" w:rsidR="008F4FA7" w:rsidRPr="0097702D" w:rsidRDefault="008F4FA7" w:rsidP="008F4FA7">
            <w:pPr>
              <w:jc w:val="center"/>
              <w:rPr>
                <w:rFonts w:asciiTheme="majorHAnsi" w:hAnsiTheme="majorHAnsi" w:cstheme="majorHAnsi"/>
                <w:sz w:val="18"/>
                <w:szCs w:val="18"/>
              </w:rPr>
            </w:pPr>
            <w:r w:rsidRPr="0097702D">
              <w:rPr>
                <w:sz w:val="18"/>
                <w:szCs w:val="18"/>
              </w:rPr>
              <w:t xml:space="preserve"> 4,986.81 </w:t>
            </w:r>
          </w:p>
        </w:tc>
        <w:tc>
          <w:tcPr>
            <w:tcW w:w="2112" w:type="dxa"/>
            <w:noWrap/>
          </w:tcPr>
          <w:p w14:paraId="2886E869" w14:textId="2BCEC9D7" w:rsidR="008F4FA7" w:rsidRPr="0097702D" w:rsidRDefault="008F4FA7" w:rsidP="008F4FA7">
            <w:pPr>
              <w:jc w:val="center"/>
              <w:rPr>
                <w:rFonts w:asciiTheme="majorHAnsi" w:hAnsiTheme="majorHAnsi" w:cstheme="majorHAnsi"/>
                <w:sz w:val="18"/>
                <w:szCs w:val="18"/>
              </w:rPr>
            </w:pPr>
            <w:r w:rsidRPr="0097702D">
              <w:rPr>
                <w:sz w:val="18"/>
                <w:szCs w:val="18"/>
              </w:rPr>
              <w:t xml:space="preserve"> 11.08 </w:t>
            </w:r>
          </w:p>
        </w:tc>
      </w:tr>
      <w:tr w:rsidR="008F4FA7" w:rsidRPr="00943E4B" w14:paraId="35235E75" w14:textId="77777777" w:rsidTr="004E74B6">
        <w:trPr>
          <w:trHeight w:val="300"/>
          <w:jc w:val="center"/>
        </w:trPr>
        <w:tc>
          <w:tcPr>
            <w:tcW w:w="1289" w:type="dxa"/>
            <w:noWrap/>
            <w:hideMark/>
          </w:tcPr>
          <w:p w14:paraId="32C7C22C" w14:textId="27556614"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9</w:t>
            </w:r>
          </w:p>
        </w:tc>
        <w:tc>
          <w:tcPr>
            <w:tcW w:w="1250" w:type="dxa"/>
            <w:tcBorders>
              <w:top w:val="nil"/>
              <w:left w:val="single" w:sz="4" w:space="0" w:color="auto"/>
              <w:bottom w:val="single" w:sz="4" w:space="0" w:color="auto"/>
              <w:right w:val="single" w:sz="4" w:space="0" w:color="auto"/>
            </w:tcBorders>
            <w:shd w:val="clear" w:color="auto" w:fill="auto"/>
            <w:noWrap/>
          </w:tcPr>
          <w:p w14:paraId="3470E621" w14:textId="2D760606" w:rsidR="008F4FA7" w:rsidRPr="0097702D" w:rsidRDefault="008F4FA7" w:rsidP="008F4FA7">
            <w:pPr>
              <w:jc w:val="center"/>
              <w:rPr>
                <w:rFonts w:asciiTheme="majorHAnsi" w:hAnsiTheme="majorHAnsi" w:cstheme="majorHAnsi"/>
                <w:sz w:val="18"/>
                <w:szCs w:val="18"/>
              </w:rPr>
            </w:pPr>
            <w:r w:rsidRPr="0097702D">
              <w:rPr>
                <w:sz w:val="18"/>
                <w:szCs w:val="18"/>
              </w:rPr>
              <w:t>0.002232</w:t>
            </w:r>
          </w:p>
        </w:tc>
        <w:tc>
          <w:tcPr>
            <w:tcW w:w="1478" w:type="dxa"/>
            <w:noWrap/>
          </w:tcPr>
          <w:p w14:paraId="6A395927" w14:textId="150052D1"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118" w:type="dxa"/>
            <w:noWrap/>
          </w:tcPr>
          <w:p w14:paraId="351E0CDA" w14:textId="05AFA496"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537" w:type="dxa"/>
            <w:noWrap/>
          </w:tcPr>
          <w:p w14:paraId="5CDFDF4F" w14:textId="45EF4D3F" w:rsidR="008F4FA7" w:rsidRPr="0097702D" w:rsidRDefault="008F4FA7" w:rsidP="008F4FA7">
            <w:pPr>
              <w:jc w:val="center"/>
              <w:rPr>
                <w:rFonts w:asciiTheme="majorHAnsi" w:hAnsiTheme="majorHAnsi" w:cstheme="majorHAnsi"/>
                <w:sz w:val="18"/>
                <w:szCs w:val="18"/>
              </w:rPr>
            </w:pPr>
            <w:r w:rsidRPr="0097702D">
              <w:rPr>
                <w:sz w:val="18"/>
                <w:szCs w:val="18"/>
              </w:rPr>
              <w:t xml:space="preserve"> 5,440.93 </w:t>
            </w:r>
          </w:p>
        </w:tc>
        <w:tc>
          <w:tcPr>
            <w:tcW w:w="2112" w:type="dxa"/>
            <w:noWrap/>
          </w:tcPr>
          <w:p w14:paraId="1386CAEB" w14:textId="4A6FCE6F" w:rsidR="008F4FA7" w:rsidRPr="0097702D" w:rsidRDefault="008F4FA7" w:rsidP="008F4FA7">
            <w:pPr>
              <w:jc w:val="center"/>
              <w:rPr>
                <w:rFonts w:asciiTheme="majorHAnsi" w:hAnsiTheme="majorHAnsi" w:cstheme="majorHAnsi"/>
                <w:sz w:val="18"/>
                <w:szCs w:val="18"/>
              </w:rPr>
            </w:pPr>
            <w:r w:rsidRPr="0097702D">
              <w:rPr>
                <w:sz w:val="18"/>
                <w:szCs w:val="18"/>
              </w:rPr>
              <w:t xml:space="preserve"> 12.14 </w:t>
            </w:r>
          </w:p>
        </w:tc>
      </w:tr>
      <w:tr w:rsidR="008F4FA7" w:rsidRPr="00943E4B" w14:paraId="2102E93B" w14:textId="77777777" w:rsidTr="004E74B6">
        <w:trPr>
          <w:trHeight w:val="300"/>
          <w:jc w:val="center"/>
        </w:trPr>
        <w:tc>
          <w:tcPr>
            <w:tcW w:w="1289" w:type="dxa"/>
            <w:noWrap/>
            <w:hideMark/>
          </w:tcPr>
          <w:p w14:paraId="28EB741D" w14:textId="0D549349" w:rsidR="008F4FA7" w:rsidRPr="00FE46B5" w:rsidRDefault="008F4FA7" w:rsidP="008F4FA7">
            <w:pPr>
              <w:jc w:val="center"/>
              <w:rPr>
                <w:rFonts w:asciiTheme="majorHAnsi" w:hAnsiTheme="majorHAnsi" w:cstheme="majorHAnsi"/>
                <w:sz w:val="18"/>
                <w:szCs w:val="18"/>
              </w:rPr>
            </w:pPr>
            <w:r w:rsidRPr="00FE46B5">
              <w:rPr>
                <w:rFonts w:asciiTheme="majorHAnsi" w:hAnsiTheme="majorHAnsi" w:cstheme="majorHAnsi"/>
                <w:sz w:val="18"/>
                <w:szCs w:val="18"/>
              </w:rPr>
              <w:t>10</w:t>
            </w:r>
          </w:p>
        </w:tc>
        <w:tc>
          <w:tcPr>
            <w:tcW w:w="1250" w:type="dxa"/>
            <w:tcBorders>
              <w:top w:val="nil"/>
              <w:left w:val="single" w:sz="4" w:space="0" w:color="auto"/>
              <w:bottom w:val="single" w:sz="4" w:space="0" w:color="auto"/>
              <w:right w:val="single" w:sz="4" w:space="0" w:color="auto"/>
            </w:tcBorders>
            <w:shd w:val="clear" w:color="auto" w:fill="auto"/>
            <w:noWrap/>
          </w:tcPr>
          <w:p w14:paraId="6BD24C8E" w14:textId="02D69508" w:rsidR="008F4FA7" w:rsidRPr="0097702D" w:rsidRDefault="008F4FA7" w:rsidP="008F4FA7">
            <w:pPr>
              <w:jc w:val="center"/>
              <w:rPr>
                <w:rFonts w:asciiTheme="majorHAnsi" w:hAnsiTheme="majorHAnsi" w:cstheme="majorHAnsi"/>
                <w:sz w:val="18"/>
                <w:szCs w:val="18"/>
              </w:rPr>
            </w:pPr>
            <w:r w:rsidRPr="0097702D">
              <w:rPr>
                <w:sz w:val="18"/>
                <w:szCs w:val="18"/>
              </w:rPr>
              <w:t>0.001101</w:t>
            </w:r>
          </w:p>
        </w:tc>
        <w:tc>
          <w:tcPr>
            <w:tcW w:w="1478" w:type="dxa"/>
            <w:noWrap/>
          </w:tcPr>
          <w:p w14:paraId="7DCFE37C" w14:textId="6E234BBD"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118" w:type="dxa"/>
            <w:noWrap/>
          </w:tcPr>
          <w:p w14:paraId="2B570EA6" w14:textId="2E7DBA73" w:rsidR="008F4FA7" w:rsidRPr="0097702D" w:rsidRDefault="008F4FA7" w:rsidP="008F4FA7">
            <w:pPr>
              <w:jc w:val="center"/>
              <w:rPr>
                <w:rFonts w:asciiTheme="majorHAnsi" w:hAnsiTheme="majorHAnsi" w:cstheme="majorHAnsi"/>
                <w:sz w:val="18"/>
                <w:szCs w:val="18"/>
              </w:rPr>
            </w:pPr>
            <w:r w:rsidRPr="001842C1">
              <w:rPr>
                <w:b/>
                <w:bCs/>
                <w:sz w:val="14"/>
                <w:szCs w:val="14"/>
              </w:rPr>
              <w:t>REDACTED</w:t>
            </w:r>
          </w:p>
        </w:tc>
        <w:tc>
          <w:tcPr>
            <w:tcW w:w="1537" w:type="dxa"/>
            <w:noWrap/>
          </w:tcPr>
          <w:p w14:paraId="45D9C0DC" w14:textId="3EA46E8F" w:rsidR="008F4FA7" w:rsidRPr="0097702D" w:rsidRDefault="008F4FA7" w:rsidP="008F4FA7">
            <w:pPr>
              <w:jc w:val="center"/>
              <w:rPr>
                <w:rFonts w:asciiTheme="majorHAnsi" w:hAnsiTheme="majorHAnsi" w:cstheme="majorHAnsi"/>
                <w:sz w:val="18"/>
                <w:szCs w:val="18"/>
              </w:rPr>
            </w:pPr>
            <w:r w:rsidRPr="0097702D">
              <w:rPr>
                <w:sz w:val="18"/>
                <w:szCs w:val="18"/>
              </w:rPr>
              <w:t xml:space="preserve"> 4,988.87 </w:t>
            </w:r>
          </w:p>
        </w:tc>
        <w:tc>
          <w:tcPr>
            <w:tcW w:w="2112" w:type="dxa"/>
            <w:noWrap/>
          </w:tcPr>
          <w:p w14:paraId="4DC8877F" w14:textId="3142F988" w:rsidR="008F4FA7" w:rsidRPr="0097702D" w:rsidRDefault="008F4FA7" w:rsidP="008F4FA7">
            <w:pPr>
              <w:jc w:val="center"/>
              <w:rPr>
                <w:rFonts w:asciiTheme="majorHAnsi" w:hAnsiTheme="majorHAnsi" w:cstheme="majorHAnsi"/>
                <w:sz w:val="18"/>
                <w:szCs w:val="18"/>
              </w:rPr>
            </w:pPr>
            <w:r w:rsidRPr="0097702D">
              <w:rPr>
                <w:sz w:val="18"/>
                <w:szCs w:val="18"/>
              </w:rPr>
              <w:t xml:space="preserve"> 5.49 </w:t>
            </w:r>
          </w:p>
        </w:tc>
      </w:tr>
    </w:tbl>
    <w:p w14:paraId="07BA4AF6" w14:textId="77777777" w:rsidR="00573CC6" w:rsidRPr="00943E4B" w:rsidRDefault="00573CC6" w:rsidP="00217F0E">
      <w:pPr>
        <w:rPr>
          <w:szCs w:val="24"/>
        </w:rPr>
      </w:pPr>
    </w:p>
    <w:p w14:paraId="10DA80A2" w14:textId="061B48F8" w:rsidR="00F07605" w:rsidRPr="00C7027D" w:rsidRDefault="00BF2BD6" w:rsidP="00217F0E">
      <w:pPr>
        <w:rPr>
          <w:szCs w:val="24"/>
        </w:rPr>
      </w:pPr>
      <w:r w:rsidRPr="00943E4B">
        <w:rPr>
          <w:szCs w:val="24"/>
        </w:rPr>
        <w:t>By applying regression analysis to the expected values</w:t>
      </w:r>
      <w:r w:rsidR="00F11876" w:rsidRPr="00943E4B">
        <w:rPr>
          <w:szCs w:val="24"/>
        </w:rPr>
        <w:t xml:space="preserve"> of Production Cost and Reliability Cost</w:t>
      </w:r>
      <w:r w:rsidRPr="00943E4B">
        <w:rPr>
          <w:szCs w:val="24"/>
        </w:rPr>
        <w:t xml:space="preserve">, a curve summarizing </w:t>
      </w:r>
      <w:r w:rsidR="002502F3" w:rsidRPr="00943E4B">
        <w:rPr>
          <w:szCs w:val="24"/>
        </w:rPr>
        <w:t xml:space="preserve">the </w:t>
      </w:r>
      <w:r w:rsidR="00F11876" w:rsidRPr="00943E4B">
        <w:rPr>
          <w:szCs w:val="24"/>
        </w:rPr>
        <w:t>Production Cost</w:t>
      </w:r>
      <w:r w:rsidR="002502F3" w:rsidRPr="00943E4B">
        <w:rPr>
          <w:szCs w:val="24"/>
        </w:rPr>
        <w:t xml:space="preserve">, </w:t>
      </w:r>
      <w:r w:rsidR="00F11876" w:rsidRPr="00943E4B">
        <w:rPr>
          <w:szCs w:val="24"/>
        </w:rPr>
        <w:t>Reliability Cost</w:t>
      </w:r>
      <w:r w:rsidR="00B569F4" w:rsidRPr="00943E4B">
        <w:rPr>
          <w:szCs w:val="24"/>
        </w:rPr>
        <w:t>,</w:t>
      </w:r>
      <w:r w:rsidR="008E57D4" w:rsidRPr="00943E4B">
        <w:rPr>
          <w:szCs w:val="24"/>
        </w:rPr>
        <w:t xml:space="preserve"> and </w:t>
      </w:r>
      <w:r w:rsidR="00F11876" w:rsidRPr="00943E4B">
        <w:rPr>
          <w:szCs w:val="24"/>
        </w:rPr>
        <w:t>Incremental Capacity Cost</w:t>
      </w:r>
      <w:r w:rsidRPr="00943E4B">
        <w:rPr>
          <w:szCs w:val="24"/>
        </w:rPr>
        <w:t xml:space="preserve"> as a function of reserve margin was developed</w:t>
      </w:r>
      <w:r w:rsidR="002F267A" w:rsidRPr="00943E4B">
        <w:rPr>
          <w:szCs w:val="24"/>
        </w:rPr>
        <w:t xml:space="preserve">. </w:t>
      </w:r>
      <w:r w:rsidR="00F07605" w:rsidRPr="00943E4B">
        <w:rPr>
          <w:szCs w:val="24"/>
        </w:rPr>
        <w:t xml:space="preserve">These results are discussed in detail in the </w:t>
      </w:r>
      <w:r w:rsidR="00F11876" w:rsidRPr="00943E4B">
        <w:rPr>
          <w:szCs w:val="24"/>
        </w:rPr>
        <w:t xml:space="preserve">next </w:t>
      </w:r>
      <w:r w:rsidR="00F07605" w:rsidRPr="00943E4B">
        <w:rPr>
          <w:szCs w:val="24"/>
        </w:rPr>
        <w:t>section.</w:t>
      </w:r>
    </w:p>
    <w:p w14:paraId="29858259" w14:textId="77777777" w:rsidR="00F11876" w:rsidRPr="00C7027D" w:rsidRDefault="00F11876" w:rsidP="00217F0E">
      <w:pPr>
        <w:rPr>
          <w:szCs w:val="24"/>
        </w:rPr>
      </w:pPr>
    </w:p>
    <w:p w14:paraId="01E64C5B" w14:textId="77777777" w:rsidR="00F11876" w:rsidRPr="00C7027D" w:rsidRDefault="00F11876" w:rsidP="00217F0E">
      <w:pPr>
        <w:rPr>
          <w:szCs w:val="24"/>
        </w:rPr>
      </w:pPr>
    </w:p>
    <w:p w14:paraId="7B0BDF20" w14:textId="77777777" w:rsidR="00F07605" w:rsidRPr="00C7027D" w:rsidRDefault="003F3463" w:rsidP="00A76839">
      <w:pPr>
        <w:pStyle w:val="Heading1"/>
        <w:numPr>
          <w:ilvl w:val="0"/>
          <w:numId w:val="13"/>
        </w:numPr>
      </w:pPr>
      <w:bookmarkStart w:id="323" w:name="_Toc440262229"/>
      <w:bookmarkStart w:id="324" w:name="_Toc440447901"/>
      <w:bookmarkStart w:id="325" w:name="_Toc440457951"/>
      <w:bookmarkStart w:id="326" w:name="_Toc513710352"/>
      <w:bookmarkStart w:id="327" w:name="_Toc187234614"/>
      <w:r w:rsidRPr="00C7027D">
        <w:t>BASE CASE RESULTS</w:t>
      </w:r>
      <w:bookmarkEnd w:id="323"/>
      <w:bookmarkEnd w:id="324"/>
      <w:bookmarkEnd w:id="325"/>
      <w:bookmarkEnd w:id="326"/>
      <w:bookmarkEnd w:id="327"/>
    </w:p>
    <w:p w14:paraId="117BC4F1" w14:textId="77777777" w:rsidR="00107165" w:rsidRPr="00C7027D" w:rsidRDefault="00107165" w:rsidP="00217F0E">
      <w:pPr>
        <w:rPr>
          <w:szCs w:val="24"/>
        </w:rPr>
      </w:pPr>
      <w:bookmarkStart w:id="328" w:name="_Toc440257884"/>
      <w:bookmarkStart w:id="329" w:name="_Toc440260766"/>
      <w:bookmarkStart w:id="330" w:name="_Toc440262230"/>
      <w:bookmarkEnd w:id="328"/>
      <w:bookmarkEnd w:id="329"/>
      <w:bookmarkEnd w:id="330"/>
    </w:p>
    <w:p w14:paraId="543F14C3" w14:textId="2434C923" w:rsidR="00107165" w:rsidRPr="00C7027D" w:rsidRDefault="00AB7E47" w:rsidP="00A76839">
      <w:pPr>
        <w:pStyle w:val="Heading2"/>
        <w:numPr>
          <w:ilvl w:val="1"/>
          <w:numId w:val="13"/>
        </w:numPr>
        <w:ind w:left="360"/>
      </w:pPr>
      <w:bookmarkStart w:id="331" w:name="_Toc513710353"/>
      <w:bookmarkStart w:id="332" w:name="_Ref174695637"/>
      <w:bookmarkStart w:id="333" w:name="_Toc187234615"/>
      <w:r>
        <w:t>Winter</w:t>
      </w:r>
      <w:r w:rsidR="00107165" w:rsidRPr="00C7027D">
        <w:t xml:space="preserve"> Study Results</w:t>
      </w:r>
      <w:bookmarkEnd w:id="331"/>
      <w:bookmarkEnd w:id="332"/>
      <w:bookmarkEnd w:id="333"/>
    </w:p>
    <w:p w14:paraId="130C540F" w14:textId="3A37C182" w:rsidR="00F07605" w:rsidRPr="00C7027D" w:rsidRDefault="00F07605" w:rsidP="00217F0E">
      <w:pPr>
        <w:rPr>
          <w:szCs w:val="24"/>
        </w:rPr>
      </w:pPr>
      <w:r w:rsidRPr="00C7027D">
        <w:rPr>
          <w:szCs w:val="24"/>
        </w:rPr>
        <w:t xml:space="preserve">In theory, the </w:t>
      </w:r>
      <w:r w:rsidR="00234EA3">
        <w:rPr>
          <w:szCs w:val="24"/>
        </w:rPr>
        <w:t xml:space="preserve">economic </w:t>
      </w:r>
      <w:r w:rsidRPr="00C7027D">
        <w:rPr>
          <w:szCs w:val="24"/>
        </w:rPr>
        <w:t>optimum reserve margin</w:t>
      </w:r>
      <w:r w:rsidR="00F07F0C" w:rsidRPr="00C7027D">
        <w:rPr>
          <w:szCs w:val="24"/>
        </w:rPr>
        <w:t xml:space="preserve">, or the </w:t>
      </w:r>
      <w:r w:rsidR="00F621A0">
        <w:rPr>
          <w:szCs w:val="24"/>
        </w:rPr>
        <w:t>“</w:t>
      </w:r>
      <w:r w:rsidR="00F07F0C" w:rsidRPr="00C7027D">
        <w:rPr>
          <w:szCs w:val="24"/>
        </w:rPr>
        <w:t>EORM</w:t>
      </w:r>
      <w:r w:rsidR="00F621A0">
        <w:rPr>
          <w:szCs w:val="24"/>
        </w:rPr>
        <w:t>”</w:t>
      </w:r>
      <w:r w:rsidR="00F07F0C" w:rsidRPr="00C7027D">
        <w:rPr>
          <w:szCs w:val="24"/>
        </w:rPr>
        <w:t xml:space="preserve">, </w:t>
      </w:r>
      <w:r w:rsidRPr="00C7027D">
        <w:rPr>
          <w:szCs w:val="24"/>
        </w:rPr>
        <w:t xml:space="preserve">should be the reserve margin that results in the minimum total system costs. The three components </w:t>
      </w:r>
      <w:r w:rsidR="00212541" w:rsidRPr="00C7027D">
        <w:rPr>
          <w:szCs w:val="24"/>
        </w:rPr>
        <w:t>of total system costs</w:t>
      </w:r>
      <w:r w:rsidR="00BC49BF" w:rsidRPr="00C7027D">
        <w:rPr>
          <w:szCs w:val="24"/>
        </w:rPr>
        <w:t xml:space="preserve"> (</w:t>
      </w:r>
      <w:r w:rsidR="00DB48ED" w:rsidRPr="00C7027D">
        <w:rPr>
          <w:szCs w:val="24"/>
        </w:rPr>
        <w:t>P</w:t>
      </w:r>
      <w:r w:rsidR="00BC49BF" w:rsidRPr="00C7027D">
        <w:rPr>
          <w:szCs w:val="24"/>
        </w:rPr>
        <w:t xml:space="preserve">roduction </w:t>
      </w:r>
      <w:r w:rsidR="00DB48ED" w:rsidRPr="00C7027D">
        <w:rPr>
          <w:szCs w:val="24"/>
        </w:rPr>
        <w:t>C</w:t>
      </w:r>
      <w:r w:rsidR="00BC49BF" w:rsidRPr="00C7027D">
        <w:rPr>
          <w:szCs w:val="24"/>
        </w:rPr>
        <w:t xml:space="preserve">ost, </w:t>
      </w:r>
      <w:r w:rsidR="00DB48ED" w:rsidRPr="00C7027D">
        <w:rPr>
          <w:szCs w:val="24"/>
        </w:rPr>
        <w:t>R</w:t>
      </w:r>
      <w:r w:rsidR="00B6407C" w:rsidRPr="00C7027D">
        <w:rPr>
          <w:szCs w:val="24"/>
        </w:rPr>
        <w:t>eliability</w:t>
      </w:r>
      <w:r w:rsidR="00BC49BF" w:rsidRPr="00C7027D">
        <w:rPr>
          <w:szCs w:val="24"/>
        </w:rPr>
        <w:t xml:space="preserve"> </w:t>
      </w:r>
      <w:r w:rsidR="00DB48ED" w:rsidRPr="00C7027D">
        <w:rPr>
          <w:szCs w:val="24"/>
        </w:rPr>
        <w:t>C</w:t>
      </w:r>
      <w:r w:rsidR="00BC49BF" w:rsidRPr="00C7027D">
        <w:rPr>
          <w:szCs w:val="24"/>
        </w:rPr>
        <w:t xml:space="preserve">ost, and </w:t>
      </w:r>
      <w:r w:rsidR="00DB48ED" w:rsidRPr="00C7027D">
        <w:rPr>
          <w:szCs w:val="24"/>
        </w:rPr>
        <w:t>I</w:t>
      </w:r>
      <w:r w:rsidR="00BC49BF" w:rsidRPr="00C7027D">
        <w:rPr>
          <w:szCs w:val="24"/>
        </w:rPr>
        <w:t xml:space="preserve">ncremental </w:t>
      </w:r>
      <w:r w:rsidR="00DB48ED" w:rsidRPr="00C7027D">
        <w:rPr>
          <w:szCs w:val="24"/>
        </w:rPr>
        <w:t>C</w:t>
      </w:r>
      <w:r w:rsidR="009E1642">
        <w:rPr>
          <w:szCs w:val="24"/>
        </w:rPr>
        <w:t>apacity</w:t>
      </w:r>
      <w:r w:rsidR="00BC49BF" w:rsidRPr="00C7027D">
        <w:rPr>
          <w:szCs w:val="24"/>
        </w:rPr>
        <w:t xml:space="preserve"> </w:t>
      </w:r>
      <w:r w:rsidR="00DB48ED" w:rsidRPr="00C7027D">
        <w:rPr>
          <w:szCs w:val="24"/>
        </w:rPr>
        <w:t>C</w:t>
      </w:r>
      <w:r w:rsidR="00BC49BF" w:rsidRPr="00C7027D">
        <w:rPr>
          <w:szCs w:val="24"/>
        </w:rPr>
        <w:t>ost)</w:t>
      </w:r>
      <w:r w:rsidR="00F621A0">
        <w:rPr>
          <w:szCs w:val="24"/>
        </w:rPr>
        <w:t>,</w:t>
      </w:r>
      <w:r w:rsidR="00BC49BF" w:rsidRPr="00C7027D">
        <w:rPr>
          <w:szCs w:val="24"/>
        </w:rPr>
        <w:t xml:space="preserve"> </w:t>
      </w:r>
      <w:r w:rsidR="00F621A0">
        <w:rPr>
          <w:szCs w:val="24"/>
        </w:rPr>
        <w:t>which</w:t>
      </w:r>
      <w:r w:rsidRPr="00C7027D">
        <w:rPr>
          <w:szCs w:val="24"/>
        </w:rPr>
        <w:t xml:space="preserve"> vary </w:t>
      </w:r>
      <w:r w:rsidR="00BC49BF" w:rsidRPr="00C7027D">
        <w:rPr>
          <w:szCs w:val="24"/>
        </w:rPr>
        <w:t>across</w:t>
      </w:r>
      <w:r w:rsidRPr="00C7027D">
        <w:rPr>
          <w:szCs w:val="24"/>
        </w:rPr>
        <w:t xml:space="preserve"> reserve margin level</w:t>
      </w:r>
      <w:r w:rsidR="00BC49BF" w:rsidRPr="00C7027D">
        <w:rPr>
          <w:szCs w:val="24"/>
        </w:rPr>
        <w:t>s</w:t>
      </w:r>
      <w:r w:rsidRPr="00C7027D">
        <w:rPr>
          <w:szCs w:val="24"/>
        </w:rPr>
        <w:t xml:space="preserve"> were added</w:t>
      </w:r>
      <w:r w:rsidRPr="00372AC4">
        <w:rPr>
          <w:szCs w:val="24"/>
        </w:rPr>
        <w:t xml:space="preserve"> together to create an aggregate</w:t>
      </w:r>
      <w:r w:rsidR="00235171">
        <w:rPr>
          <w:szCs w:val="24"/>
        </w:rPr>
        <w:t xml:space="preserve"> total</w:t>
      </w:r>
      <w:r w:rsidRPr="00372AC4">
        <w:rPr>
          <w:szCs w:val="24"/>
        </w:rPr>
        <w:t xml:space="preserve"> system cost curve</w:t>
      </w:r>
      <w:r w:rsidR="00F07F0C">
        <w:rPr>
          <w:szCs w:val="24"/>
        </w:rPr>
        <w:t xml:space="preserve"> (the </w:t>
      </w:r>
      <w:r w:rsidR="008E2FDE">
        <w:rPr>
          <w:szCs w:val="24"/>
        </w:rPr>
        <w:t>“</w:t>
      </w:r>
      <w:r w:rsidR="00F07F0C">
        <w:rPr>
          <w:szCs w:val="24"/>
        </w:rPr>
        <w:t>U-Curve</w:t>
      </w:r>
      <w:r w:rsidR="008E2FDE">
        <w:rPr>
          <w:szCs w:val="24"/>
        </w:rPr>
        <w:t>”</w:t>
      </w:r>
      <w:r w:rsidR="00F07F0C">
        <w:rPr>
          <w:szCs w:val="24"/>
        </w:rPr>
        <w:t>)</w:t>
      </w:r>
      <w:r w:rsidRPr="00372AC4">
        <w:rPr>
          <w:szCs w:val="24"/>
        </w:rPr>
        <w:t xml:space="preserve">. The minimum point on the resultant </w:t>
      </w:r>
      <w:r w:rsidR="00F07F0C">
        <w:rPr>
          <w:szCs w:val="24"/>
        </w:rPr>
        <w:t>U-C</w:t>
      </w:r>
      <w:r w:rsidRPr="00372AC4">
        <w:rPr>
          <w:szCs w:val="24"/>
        </w:rPr>
        <w:t xml:space="preserve">urve, which is at </w:t>
      </w:r>
      <w:r w:rsidR="00AB7E47">
        <w:rPr>
          <w:szCs w:val="24"/>
        </w:rPr>
        <w:t>2</w:t>
      </w:r>
      <w:r w:rsidR="00937847">
        <w:rPr>
          <w:szCs w:val="24"/>
        </w:rPr>
        <w:t>2.75</w:t>
      </w:r>
      <w:r w:rsidRPr="00C7027D">
        <w:rPr>
          <w:szCs w:val="24"/>
        </w:rPr>
        <w:t xml:space="preserve">%, represents the </w:t>
      </w:r>
      <w:r w:rsidR="00F07F0C" w:rsidRPr="00C7027D">
        <w:rPr>
          <w:szCs w:val="24"/>
        </w:rPr>
        <w:t>EORM</w:t>
      </w:r>
      <w:r w:rsidRPr="00C7027D">
        <w:rPr>
          <w:szCs w:val="24"/>
        </w:rPr>
        <w:t>.</w:t>
      </w:r>
      <w:r w:rsidR="00A648A6">
        <w:rPr>
          <w:szCs w:val="24"/>
        </w:rPr>
        <w:t xml:space="preserve"> </w:t>
      </w:r>
      <w:r w:rsidRPr="00C7027D">
        <w:rPr>
          <w:szCs w:val="24"/>
        </w:rPr>
        <w:t>This graph is presented below.</w:t>
      </w:r>
    </w:p>
    <w:p w14:paraId="5B018768" w14:textId="77777777" w:rsidR="00F07605" w:rsidRPr="00C7027D" w:rsidRDefault="00F07605" w:rsidP="00217F0E">
      <w:pPr>
        <w:rPr>
          <w:szCs w:val="24"/>
        </w:rPr>
      </w:pPr>
    </w:p>
    <w:p w14:paraId="64B49751" w14:textId="4B038C41" w:rsidR="00877D9E" w:rsidRDefault="00877D9E" w:rsidP="00877D9E">
      <w:pPr>
        <w:keepNext/>
      </w:pPr>
    </w:p>
    <w:p w14:paraId="6A775506" w14:textId="6B08A85A" w:rsidR="06382574" w:rsidRDefault="06382574" w:rsidP="7E10FA17">
      <w:pPr>
        <w:keepNext/>
      </w:pPr>
      <w:r>
        <w:rPr>
          <w:noProof/>
        </w:rPr>
        <w:drawing>
          <wp:inline distT="0" distB="0" distL="0" distR="0" wp14:anchorId="4C5C2747" wp14:editId="65076014">
            <wp:extent cx="5943600" cy="4419600"/>
            <wp:effectExtent l="0" t="0" r="0" b="0"/>
            <wp:docPr id="3291646" name="Picture 3291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943600" cy="4419600"/>
                    </a:xfrm>
                    <a:prstGeom prst="rect">
                      <a:avLst/>
                    </a:prstGeom>
                  </pic:spPr>
                </pic:pic>
              </a:graphicData>
            </a:graphic>
          </wp:inline>
        </w:drawing>
      </w:r>
    </w:p>
    <w:p w14:paraId="7F1DE5E6" w14:textId="2E54496C" w:rsidR="00877D9E" w:rsidRDefault="00877D9E" w:rsidP="00877D9E">
      <w:pPr>
        <w:pStyle w:val="Caption"/>
        <w:jc w:val="both"/>
      </w:pPr>
      <w:bookmarkStart w:id="334" w:name="_Toc513710592"/>
      <w:bookmarkStart w:id="335" w:name="_Toc187234678"/>
      <w:r w:rsidRPr="00AF796F">
        <w:t xml:space="preserve">Figure </w:t>
      </w:r>
      <w:r w:rsidR="00F262E6">
        <w:fldChar w:fldCharType="begin"/>
      </w:r>
      <w:r w:rsidR="00F262E6">
        <w:instrText xml:space="preserve"> STYLEREF 1 \s </w:instrText>
      </w:r>
      <w:r w:rsidR="00F262E6">
        <w:fldChar w:fldCharType="separate"/>
      </w:r>
      <w:r w:rsidR="00F262E6">
        <w:rPr>
          <w:noProof/>
        </w:rPr>
        <w:t>III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w:t>
      </w:r>
      <w:r w:rsidR="00F262E6">
        <w:fldChar w:fldCharType="end"/>
      </w:r>
      <w:r w:rsidRPr="00AF796F">
        <w:t xml:space="preserve">. </w:t>
      </w:r>
      <w:r w:rsidR="00AB7E47" w:rsidRPr="00AF796F">
        <w:t>Winter</w:t>
      </w:r>
      <w:r w:rsidRPr="00AF796F">
        <w:t xml:space="preserve"> </w:t>
      </w:r>
      <w:r w:rsidR="00D0319D" w:rsidRPr="00AF796F">
        <w:t>EORM</w:t>
      </w:r>
      <w:r w:rsidRPr="00AF796F">
        <w:t xml:space="preserve"> U-Curve</w:t>
      </w:r>
      <w:bookmarkEnd w:id="334"/>
      <w:bookmarkEnd w:id="335"/>
    </w:p>
    <w:p w14:paraId="3909A2D7" w14:textId="77777777" w:rsidR="00C17D1C" w:rsidRDefault="00C17D1C" w:rsidP="00DB641B"/>
    <w:p w14:paraId="41B8D65E" w14:textId="77777777" w:rsidR="00BC49BF" w:rsidRDefault="00BC49BF" w:rsidP="00DB641B"/>
    <w:p w14:paraId="6B0499D4" w14:textId="77777777" w:rsidR="00BC49BF" w:rsidRDefault="00BC49BF" w:rsidP="00DB641B"/>
    <w:p w14:paraId="4F44D699" w14:textId="3975E612" w:rsidR="00951C20" w:rsidRDefault="005B2BBD" w:rsidP="00217F0E">
      <w:pPr>
        <w:rPr>
          <w:szCs w:val="24"/>
        </w:rPr>
      </w:pPr>
      <w:r>
        <w:rPr>
          <w:szCs w:val="24"/>
        </w:rPr>
        <w:t>Currently, t</w:t>
      </w:r>
      <w:r w:rsidR="005304E3" w:rsidRPr="00C627E2">
        <w:rPr>
          <w:szCs w:val="24"/>
        </w:rPr>
        <w:t>h</w:t>
      </w:r>
      <w:r w:rsidR="005304E3" w:rsidRPr="003A3681">
        <w:rPr>
          <w:color w:val="000000" w:themeColor="text1"/>
          <w:szCs w:val="24"/>
        </w:rPr>
        <w:t>e</w:t>
      </w:r>
      <w:r w:rsidR="00107165" w:rsidRPr="003A3681">
        <w:rPr>
          <w:color w:val="000000" w:themeColor="text1"/>
          <w:szCs w:val="24"/>
        </w:rPr>
        <w:t xml:space="preserve"> </w:t>
      </w:r>
      <w:r w:rsidR="008B68E0" w:rsidRPr="003A3681">
        <w:rPr>
          <w:color w:val="000000" w:themeColor="text1"/>
          <w:szCs w:val="24"/>
        </w:rPr>
        <w:t>six</w:t>
      </w:r>
      <w:r w:rsidRPr="003A3681">
        <w:rPr>
          <w:color w:val="000000" w:themeColor="text1"/>
          <w:szCs w:val="24"/>
        </w:rPr>
        <w:t xml:space="preserve"> </w:t>
      </w:r>
      <w:r>
        <w:rPr>
          <w:szCs w:val="24"/>
        </w:rPr>
        <w:t>key determinants affecting winter reliability risk include:</w:t>
      </w:r>
    </w:p>
    <w:p w14:paraId="1EE983C6" w14:textId="77777777" w:rsidR="00107165" w:rsidRDefault="00107165" w:rsidP="00217F0E">
      <w:pPr>
        <w:rPr>
          <w:szCs w:val="24"/>
        </w:rPr>
      </w:pPr>
    </w:p>
    <w:p w14:paraId="070BB572" w14:textId="7E8B4BD2" w:rsidR="002D0A36" w:rsidRDefault="008E1F8B" w:rsidP="00937847">
      <w:pPr>
        <w:pStyle w:val="ListParagraph"/>
        <w:numPr>
          <w:ilvl w:val="0"/>
          <w:numId w:val="19"/>
        </w:numPr>
      </w:pPr>
      <w:bookmarkStart w:id="336" w:name="_Toc440262232"/>
      <w:r>
        <w:t>t</w:t>
      </w:r>
      <w:r w:rsidR="002D0A36">
        <w:t>he narrowing of summer and winter weather-normal peak loads</w:t>
      </w:r>
    </w:p>
    <w:p w14:paraId="267173E3" w14:textId="11A83950" w:rsidR="00937847" w:rsidRPr="00937847" w:rsidRDefault="00076DA4" w:rsidP="00937847">
      <w:pPr>
        <w:pStyle w:val="ListParagraph"/>
        <w:numPr>
          <w:ilvl w:val="0"/>
          <w:numId w:val="19"/>
        </w:numPr>
      </w:pPr>
      <w:r>
        <w:t xml:space="preserve">the distribution </w:t>
      </w:r>
      <w:r w:rsidR="6C1478F0">
        <w:t xml:space="preserve">and duration </w:t>
      </w:r>
      <w:r>
        <w:t>of peak loads relative to the norm</w:t>
      </w:r>
    </w:p>
    <w:p w14:paraId="206E5253" w14:textId="5A6CB5A0" w:rsidR="00076DA4" w:rsidRDefault="00076DA4" w:rsidP="00076DA4">
      <w:pPr>
        <w:pStyle w:val="ListParagraph"/>
        <w:numPr>
          <w:ilvl w:val="0"/>
          <w:numId w:val="19"/>
        </w:numPr>
        <w:rPr>
          <w:szCs w:val="24"/>
        </w:rPr>
      </w:pPr>
      <w:r>
        <w:rPr>
          <w:szCs w:val="24"/>
        </w:rPr>
        <w:t>cold</w:t>
      </w:r>
      <w:r w:rsidR="00941BBB">
        <w:rPr>
          <w:szCs w:val="24"/>
        </w:rPr>
        <w:t>-</w:t>
      </w:r>
      <w:r>
        <w:rPr>
          <w:szCs w:val="24"/>
        </w:rPr>
        <w:t>weather-related unit outages</w:t>
      </w:r>
    </w:p>
    <w:p w14:paraId="04FDE8C3" w14:textId="7844043C" w:rsidR="00937847" w:rsidRPr="00937847" w:rsidRDefault="002D0A36" w:rsidP="00076DA4">
      <w:pPr>
        <w:pStyle w:val="ListParagraph"/>
        <w:numPr>
          <w:ilvl w:val="0"/>
          <w:numId w:val="19"/>
        </w:numPr>
      </w:pPr>
      <w:r>
        <w:t xml:space="preserve">the penetration of </w:t>
      </w:r>
      <w:r w:rsidR="2A3DB6F1">
        <w:t>solar</w:t>
      </w:r>
      <w:r>
        <w:t xml:space="preserve"> resources</w:t>
      </w:r>
    </w:p>
    <w:p w14:paraId="4A6C73F0" w14:textId="43CC058E" w:rsidR="00C17D1C" w:rsidRPr="00C11ED7" w:rsidRDefault="00076DA4" w:rsidP="00076DA4">
      <w:pPr>
        <w:pStyle w:val="ListParagraph"/>
        <w:numPr>
          <w:ilvl w:val="0"/>
          <w:numId w:val="19"/>
        </w:numPr>
      </w:pPr>
      <w:r w:rsidRPr="00C11ED7">
        <w:rPr>
          <w:szCs w:val="24"/>
        </w:rPr>
        <w:t>increased reliance on natural ga</w:t>
      </w:r>
      <w:r w:rsidR="00F621A0">
        <w:rPr>
          <w:szCs w:val="24"/>
        </w:rPr>
        <w:t>s</w:t>
      </w:r>
    </w:p>
    <w:p w14:paraId="03BD4817" w14:textId="278A7C10" w:rsidR="00C11ED7" w:rsidRDefault="00C11ED7" w:rsidP="00076DA4">
      <w:pPr>
        <w:pStyle w:val="ListParagraph"/>
        <w:numPr>
          <w:ilvl w:val="0"/>
          <w:numId w:val="19"/>
        </w:numPr>
      </w:pPr>
      <w:r w:rsidRPr="00C11ED7">
        <w:t>the</w:t>
      </w:r>
      <w:r>
        <w:t xml:space="preserve"> availability of market purchase</w:t>
      </w:r>
      <w:r w:rsidR="00F621A0">
        <w:t>s</w:t>
      </w:r>
    </w:p>
    <w:p w14:paraId="3DA89C99" w14:textId="20BF0B41" w:rsidR="00076DA4" w:rsidRDefault="00076DA4" w:rsidP="00DB641B"/>
    <w:p w14:paraId="0123F787" w14:textId="3422D6D6" w:rsidR="00D12BFD" w:rsidRDefault="005C34B3" w:rsidP="00DB641B">
      <w:r>
        <w:t xml:space="preserve">Because </w:t>
      </w:r>
      <w:r w:rsidR="00C11ED7">
        <w:t>all</w:t>
      </w:r>
      <w:r w:rsidR="006520EA">
        <w:t xml:space="preserve"> </w:t>
      </w:r>
      <w:r w:rsidR="00107165">
        <w:t xml:space="preserve">these drivers </w:t>
      </w:r>
      <w:r w:rsidR="1ADBA28A">
        <w:t>disproportionately</w:t>
      </w:r>
      <w:r>
        <w:t xml:space="preserve"> </w:t>
      </w:r>
      <w:r w:rsidR="00107165">
        <w:t xml:space="preserve">impact winter reliability, </w:t>
      </w:r>
      <w:r w:rsidR="00922C78">
        <w:t>the System’s primary reliability risk</w:t>
      </w:r>
      <w:r w:rsidR="00C11ED7">
        <w:t xml:space="preserve"> continues to be</w:t>
      </w:r>
      <w:r w:rsidR="00922C78">
        <w:t xml:space="preserve"> in the winter</w:t>
      </w:r>
      <w:r w:rsidR="00C11ED7">
        <w:t>.</w:t>
      </w:r>
      <w:r w:rsidR="00C00089">
        <w:t xml:space="preserve"> </w:t>
      </w:r>
      <w:r w:rsidR="00E364BC">
        <w:t xml:space="preserve">To </w:t>
      </w:r>
      <w:r w:rsidR="001B3815">
        <w:t xml:space="preserve">further </w:t>
      </w:r>
      <w:r w:rsidR="00E364BC">
        <w:t xml:space="preserve">demonstrate </w:t>
      </w:r>
      <w:r w:rsidR="00F621A0">
        <w:t xml:space="preserve">that </w:t>
      </w:r>
      <w:r w:rsidR="006520EA">
        <w:t xml:space="preserve">winter </w:t>
      </w:r>
      <w:r w:rsidR="00E364BC">
        <w:t>reliability risk</w:t>
      </w:r>
      <w:r w:rsidR="00F621A0">
        <w:t xml:space="preserve"> exceeds that of</w:t>
      </w:r>
      <w:r w:rsidR="00E364BC">
        <w:t xml:space="preserve"> the summer, </w:t>
      </w:r>
      <w:r w:rsidR="001B3815">
        <w:t>an additional study was performed that had several winter drivers removed</w:t>
      </w:r>
      <w:r w:rsidR="00F621A0">
        <w:t>,</w:t>
      </w:r>
      <w:r w:rsidR="001B3815">
        <w:t xml:space="preserve"> including cold weather outages. The reserve margin </w:t>
      </w:r>
      <w:r w:rsidR="006520EA">
        <w:t>range</w:t>
      </w:r>
      <w:r w:rsidR="00D01363">
        <w:t xml:space="preserve"> analyzed</w:t>
      </w:r>
      <w:r w:rsidR="001B3815">
        <w:t xml:space="preserve"> </w:t>
      </w:r>
      <w:r w:rsidR="006520EA">
        <w:t>was</w:t>
      </w:r>
      <w:r w:rsidR="001B3815">
        <w:t xml:space="preserve"> </w:t>
      </w:r>
      <w:r w:rsidR="20D00ECD">
        <w:t>also</w:t>
      </w:r>
      <w:r w:rsidR="457A53A6">
        <w:t xml:space="preserve"> </w:t>
      </w:r>
      <w:r w:rsidR="001B3815">
        <w:t>reduced from the 20-3</w:t>
      </w:r>
      <w:r w:rsidR="009E6997">
        <w:t>0</w:t>
      </w:r>
      <w:r w:rsidR="001B3815">
        <w:t xml:space="preserve">% performed </w:t>
      </w:r>
      <w:r w:rsidR="006520EA">
        <w:t>in the winter study</w:t>
      </w:r>
      <w:r w:rsidR="00266C15">
        <w:t xml:space="preserve"> to 12-24%</w:t>
      </w:r>
      <w:r w:rsidR="006520EA">
        <w:t xml:space="preserve"> due to the low summer EUE in th</w:t>
      </w:r>
      <w:r w:rsidR="00E91D43">
        <w:t>e winter</w:t>
      </w:r>
      <w:r w:rsidR="006520EA">
        <w:t xml:space="preserve"> reserve margin range. The seasonal EUE data from this study is</w:t>
      </w:r>
      <w:r w:rsidR="00364D59">
        <w:t xml:space="preserve"> shown in </w:t>
      </w:r>
      <w:r w:rsidR="00146609">
        <w:fldChar w:fldCharType="begin"/>
      </w:r>
      <w:r w:rsidR="00146609">
        <w:instrText xml:space="preserve"> REF _Ref513786287 \h </w:instrText>
      </w:r>
      <w:r w:rsidR="00146609">
        <w:fldChar w:fldCharType="separate"/>
      </w:r>
      <w:r w:rsidR="00161C58">
        <w:t xml:space="preserve">Figure </w:t>
      </w:r>
      <w:r w:rsidR="00161C58">
        <w:rPr>
          <w:noProof/>
        </w:rPr>
        <w:t>III</w:t>
      </w:r>
      <w:r w:rsidR="00161C58">
        <w:t>.</w:t>
      </w:r>
      <w:r w:rsidR="00161C58">
        <w:rPr>
          <w:noProof/>
        </w:rPr>
        <w:t>2</w:t>
      </w:r>
      <w:r w:rsidR="00146609">
        <w:fldChar w:fldCharType="end"/>
      </w:r>
      <w:r w:rsidR="00364D59">
        <w:t xml:space="preserve"> below</w:t>
      </w:r>
      <w:r w:rsidR="00F621A0">
        <w:t>.</w:t>
      </w:r>
      <w:r w:rsidR="00364D59">
        <w:t xml:space="preserve"> </w:t>
      </w:r>
      <w:r w:rsidR="00F621A0">
        <w:t>T</w:t>
      </w:r>
      <w:r w:rsidR="00364D59">
        <w:t>hrough all reserve margin levels</w:t>
      </w:r>
      <w:r w:rsidR="00117244">
        <w:t xml:space="preserve"> analyzed</w:t>
      </w:r>
      <w:r w:rsidR="00364D59">
        <w:t xml:space="preserve">, EUE is </w:t>
      </w:r>
      <w:r w:rsidR="00117244">
        <w:t xml:space="preserve">still </w:t>
      </w:r>
      <w:r w:rsidR="00364D59">
        <w:t>greater</w:t>
      </w:r>
      <w:r w:rsidR="00F621A0">
        <w:t xml:space="preserve"> in the winter</w:t>
      </w:r>
      <w:r w:rsidR="00364D59">
        <w:t xml:space="preserve"> than</w:t>
      </w:r>
      <w:r w:rsidR="00F621A0">
        <w:t xml:space="preserve"> in the</w:t>
      </w:r>
      <w:r w:rsidR="00364D59">
        <w:t xml:space="preserve"> summer</w:t>
      </w:r>
      <w:r w:rsidR="0061343F">
        <w:t xml:space="preserve">, even with </w:t>
      </w:r>
      <w:r w:rsidR="4E172377">
        <w:t xml:space="preserve">the removal of </w:t>
      </w:r>
      <w:r w:rsidR="0061343F">
        <w:t xml:space="preserve">several winter </w:t>
      </w:r>
      <w:r w:rsidR="00962E0A">
        <w:t>drivers</w:t>
      </w:r>
      <w:r w:rsidR="00364D59">
        <w:t>.</w:t>
      </w:r>
    </w:p>
    <w:p w14:paraId="57DF33E9" w14:textId="77777777" w:rsidR="00364D59" w:rsidRDefault="00364D59" w:rsidP="00DB641B"/>
    <w:p w14:paraId="0E7150B4" w14:textId="2D48F869" w:rsidR="00C00089" w:rsidRDefault="001F1519" w:rsidP="00DB641B">
      <w:r>
        <w:rPr>
          <w:noProof/>
        </w:rPr>
        <w:drawing>
          <wp:inline distT="0" distB="0" distL="0" distR="0" wp14:anchorId="0D4F0F6F" wp14:editId="0314DF7D">
            <wp:extent cx="5853875" cy="4249650"/>
            <wp:effectExtent l="0" t="0" r="0" b="0"/>
            <wp:docPr id="5518656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861404" cy="4255115"/>
                    </a:xfrm>
                    <a:prstGeom prst="rect">
                      <a:avLst/>
                    </a:prstGeom>
                    <a:noFill/>
                  </pic:spPr>
                </pic:pic>
              </a:graphicData>
            </a:graphic>
          </wp:inline>
        </w:drawing>
      </w:r>
    </w:p>
    <w:p w14:paraId="1E35C8C8" w14:textId="3F6AF013" w:rsidR="00107165" w:rsidRDefault="008338DD" w:rsidP="008338DD">
      <w:pPr>
        <w:pStyle w:val="Caption"/>
        <w:jc w:val="both"/>
      </w:pPr>
      <w:bookmarkStart w:id="337" w:name="_Ref513786287"/>
      <w:bookmarkStart w:id="338" w:name="_Toc513710593"/>
      <w:bookmarkStart w:id="339" w:name="_Toc187234679"/>
      <w:r>
        <w:t xml:space="preserve">Figure </w:t>
      </w:r>
      <w:r w:rsidR="00F262E6">
        <w:fldChar w:fldCharType="begin"/>
      </w:r>
      <w:r w:rsidR="00F262E6">
        <w:instrText xml:space="preserve"> STYLEREF 1 \s </w:instrText>
      </w:r>
      <w:r w:rsidR="00F262E6">
        <w:fldChar w:fldCharType="separate"/>
      </w:r>
      <w:r w:rsidR="00F262E6">
        <w:rPr>
          <w:noProof/>
        </w:rPr>
        <w:t>III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2</w:t>
      </w:r>
      <w:r w:rsidR="00F262E6">
        <w:fldChar w:fldCharType="end"/>
      </w:r>
      <w:bookmarkEnd w:id="337"/>
      <w:r>
        <w:t xml:space="preserve">. </w:t>
      </w:r>
      <w:r w:rsidRPr="001F2DAE">
        <w:t>Seasonal EUE by Reserve Margin</w:t>
      </w:r>
      <w:bookmarkEnd w:id="338"/>
      <w:bookmarkEnd w:id="339"/>
    </w:p>
    <w:bookmarkEnd w:id="336"/>
    <w:p w14:paraId="0482F306" w14:textId="77777777" w:rsidR="00F07F0C" w:rsidRPr="00344E3D" w:rsidRDefault="00F07F0C" w:rsidP="00217F0E">
      <w:pPr>
        <w:contextualSpacing/>
        <w:rPr>
          <w:szCs w:val="24"/>
        </w:rPr>
      </w:pPr>
    </w:p>
    <w:p w14:paraId="2EB1CD7A" w14:textId="7A1305CC" w:rsidR="00107165" w:rsidRPr="00421157" w:rsidRDefault="00107165" w:rsidP="00A76839">
      <w:pPr>
        <w:pStyle w:val="Heading2"/>
        <w:numPr>
          <w:ilvl w:val="1"/>
          <w:numId w:val="13"/>
        </w:numPr>
        <w:ind w:left="360"/>
      </w:pPr>
      <w:bookmarkStart w:id="340" w:name="_Toc513710355"/>
      <w:bookmarkStart w:id="341" w:name="_Toc187234616"/>
      <w:bookmarkStart w:id="342" w:name="_Toc440262236"/>
      <w:bookmarkStart w:id="343" w:name="_Toc440447907"/>
      <w:bookmarkStart w:id="344" w:name="_Toc440457957"/>
      <w:bookmarkStart w:id="345" w:name="_Toc440458371"/>
      <w:r>
        <w:t>Summer</w:t>
      </w:r>
      <w:r w:rsidR="00083E87">
        <w:t>-</w:t>
      </w:r>
      <w:r w:rsidR="0008036D">
        <w:t>Only</w:t>
      </w:r>
      <w:r>
        <w:t xml:space="preserve"> Reserve Margin Results</w:t>
      </w:r>
      <w:bookmarkEnd w:id="340"/>
      <w:bookmarkEnd w:id="341"/>
    </w:p>
    <w:p w14:paraId="76247FCF" w14:textId="37989115" w:rsidR="00685223" w:rsidRDefault="00685223" w:rsidP="00DB641B">
      <w:pPr>
        <w:rPr>
          <w:bCs/>
        </w:rPr>
      </w:pPr>
      <w:r w:rsidRPr="004B49A6">
        <w:rPr>
          <w:bCs/>
        </w:rPr>
        <w:t>G</w:t>
      </w:r>
      <w:r>
        <w:rPr>
          <w:bCs/>
        </w:rPr>
        <w:t>iven that the System’s primary reliability risk is in the winter</w:t>
      </w:r>
      <w:r w:rsidR="00EF4F44">
        <w:rPr>
          <w:bCs/>
        </w:rPr>
        <w:t>, it</w:t>
      </w:r>
      <w:r w:rsidR="00BD567A">
        <w:rPr>
          <w:bCs/>
        </w:rPr>
        <w:t xml:space="preserve"> is</w:t>
      </w:r>
      <w:r w:rsidR="00EF4F44">
        <w:rPr>
          <w:bCs/>
        </w:rPr>
        <w:t xml:space="preserve"> </w:t>
      </w:r>
      <w:r w:rsidR="002D4860">
        <w:rPr>
          <w:bCs/>
        </w:rPr>
        <w:t xml:space="preserve">still useful </w:t>
      </w:r>
      <w:r w:rsidR="00EF4F44">
        <w:rPr>
          <w:bCs/>
        </w:rPr>
        <w:t>to determine a summer</w:t>
      </w:r>
      <w:r w:rsidR="00083E87">
        <w:rPr>
          <w:bCs/>
        </w:rPr>
        <w:t>-</w:t>
      </w:r>
      <w:r w:rsidR="0008036D">
        <w:rPr>
          <w:bCs/>
        </w:rPr>
        <w:t>only</w:t>
      </w:r>
      <w:r w:rsidR="00EF4F44">
        <w:rPr>
          <w:bCs/>
        </w:rPr>
        <w:t xml:space="preserve"> reserve margin without consideration of </w:t>
      </w:r>
      <w:r w:rsidR="0008036D">
        <w:rPr>
          <w:bCs/>
        </w:rPr>
        <w:t>any winter economics or reliability risks.</w:t>
      </w:r>
      <w:r w:rsidR="000165BB">
        <w:rPr>
          <w:bCs/>
        </w:rPr>
        <w:t xml:space="preserve"> </w:t>
      </w:r>
      <w:r w:rsidR="00EF4F44">
        <w:rPr>
          <w:bCs/>
        </w:rPr>
        <w:t xml:space="preserve">The following graph shows that </w:t>
      </w:r>
      <w:r w:rsidR="0008036D">
        <w:rPr>
          <w:bCs/>
        </w:rPr>
        <w:t>the</w:t>
      </w:r>
      <w:r w:rsidR="00EF4F44">
        <w:rPr>
          <w:bCs/>
        </w:rPr>
        <w:t xml:space="preserve"> </w:t>
      </w:r>
      <w:r w:rsidR="00346F63">
        <w:rPr>
          <w:bCs/>
        </w:rPr>
        <w:t>S</w:t>
      </w:r>
      <w:r w:rsidR="00EF4F44">
        <w:rPr>
          <w:bCs/>
        </w:rPr>
        <w:t>ummer</w:t>
      </w:r>
      <w:r w:rsidR="00083E87">
        <w:rPr>
          <w:bCs/>
        </w:rPr>
        <w:t>-</w:t>
      </w:r>
      <w:r w:rsidR="00346F63">
        <w:rPr>
          <w:bCs/>
        </w:rPr>
        <w:t>O</w:t>
      </w:r>
      <w:r w:rsidR="0008036D">
        <w:rPr>
          <w:bCs/>
        </w:rPr>
        <w:t>nly</w:t>
      </w:r>
      <w:r w:rsidR="00EF4F44">
        <w:rPr>
          <w:bCs/>
        </w:rPr>
        <w:t xml:space="preserve"> </w:t>
      </w:r>
      <w:r w:rsidR="00C05C5E">
        <w:rPr>
          <w:bCs/>
        </w:rPr>
        <w:t>EORM</w:t>
      </w:r>
      <w:r w:rsidR="00F621A0">
        <w:rPr>
          <w:bCs/>
        </w:rPr>
        <w:t>,</w:t>
      </w:r>
      <w:r w:rsidR="00EF4F44">
        <w:rPr>
          <w:bCs/>
        </w:rPr>
        <w:t xml:space="preserve"> without </w:t>
      </w:r>
      <w:r w:rsidR="0008036D">
        <w:rPr>
          <w:bCs/>
        </w:rPr>
        <w:t>consideration of winter months and related winter drivers</w:t>
      </w:r>
      <w:r w:rsidR="00F621A0">
        <w:rPr>
          <w:bCs/>
        </w:rPr>
        <w:t xml:space="preserve">, </w:t>
      </w:r>
      <w:r w:rsidR="00EF4F44">
        <w:rPr>
          <w:bCs/>
        </w:rPr>
        <w:t xml:space="preserve">would be </w:t>
      </w:r>
      <w:r w:rsidR="001F6C9C">
        <w:rPr>
          <w:bCs/>
        </w:rPr>
        <w:t>18.</w:t>
      </w:r>
      <w:r w:rsidR="006701F0">
        <w:rPr>
          <w:bCs/>
        </w:rPr>
        <w:t>2</w:t>
      </w:r>
      <w:r w:rsidR="001F6C9C">
        <w:rPr>
          <w:bCs/>
        </w:rPr>
        <w:t>5</w:t>
      </w:r>
      <w:r w:rsidR="00EF4F44">
        <w:rPr>
          <w:bCs/>
        </w:rPr>
        <w:t>%.</w:t>
      </w:r>
    </w:p>
    <w:p w14:paraId="714814C5" w14:textId="77777777" w:rsidR="00EF4F44" w:rsidRDefault="00EF4F44" w:rsidP="00DB641B">
      <w:pPr>
        <w:rPr>
          <w:bCs/>
        </w:rPr>
      </w:pPr>
    </w:p>
    <w:p w14:paraId="7551AB0C" w14:textId="73029516" w:rsidR="008338DD" w:rsidRDefault="008338DD" w:rsidP="008338DD">
      <w:pPr>
        <w:keepNext/>
      </w:pPr>
    </w:p>
    <w:p w14:paraId="1B3C87FD" w14:textId="21843A39" w:rsidR="55244D11" w:rsidRDefault="55244D11" w:rsidP="7E10FA17">
      <w:r>
        <w:rPr>
          <w:noProof/>
        </w:rPr>
        <w:drawing>
          <wp:inline distT="0" distB="0" distL="0" distR="0" wp14:anchorId="31502BCC" wp14:editId="3B8FFF47">
            <wp:extent cx="5943600" cy="4314825"/>
            <wp:effectExtent l="0" t="0" r="0" b="0"/>
            <wp:docPr id="279178332" name="Picture 279178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943600" cy="4314825"/>
                    </a:xfrm>
                    <a:prstGeom prst="rect">
                      <a:avLst/>
                    </a:prstGeom>
                  </pic:spPr>
                </pic:pic>
              </a:graphicData>
            </a:graphic>
          </wp:inline>
        </w:drawing>
      </w:r>
    </w:p>
    <w:p w14:paraId="591BD156" w14:textId="78AD524C" w:rsidR="00EF4F44" w:rsidRDefault="008338DD" w:rsidP="008338DD">
      <w:pPr>
        <w:pStyle w:val="Caption"/>
        <w:jc w:val="both"/>
        <w:rPr>
          <w:bCs w:val="0"/>
        </w:rPr>
      </w:pPr>
      <w:bookmarkStart w:id="346" w:name="_Toc513710595"/>
      <w:bookmarkStart w:id="347" w:name="_Toc187234680"/>
      <w:r w:rsidRPr="00AF796F">
        <w:t xml:space="preserve">Figure </w:t>
      </w:r>
      <w:r w:rsidR="00F262E6">
        <w:fldChar w:fldCharType="begin"/>
      </w:r>
      <w:r w:rsidR="00F262E6">
        <w:instrText xml:space="preserve"> STYLEREF 1 \s </w:instrText>
      </w:r>
      <w:r w:rsidR="00F262E6">
        <w:fldChar w:fldCharType="separate"/>
      </w:r>
      <w:r w:rsidR="00F262E6">
        <w:rPr>
          <w:noProof/>
        </w:rPr>
        <w:t>III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3</w:t>
      </w:r>
      <w:r w:rsidR="00F262E6">
        <w:fldChar w:fldCharType="end"/>
      </w:r>
      <w:r w:rsidRPr="00AF796F">
        <w:t>. Summer</w:t>
      </w:r>
      <w:r w:rsidR="00346F63" w:rsidRPr="00AF796F">
        <w:t>-only</w:t>
      </w:r>
      <w:r w:rsidRPr="00AF796F">
        <w:t xml:space="preserve"> </w:t>
      </w:r>
      <w:r w:rsidR="00D0319D" w:rsidRPr="00AF796F">
        <w:t>EORM</w:t>
      </w:r>
      <w:r w:rsidRPr="00AF796F">
        <w:t xml:space="preserve"> U-Curve (Without </w:t>
      </w:r>
      <w:r w:rsidR="00346F63" w:rsidRPr="00AF796F">
        <w:t>W</w:t>
      </w:r>
      <w:r w:rsidRPr="00AF796F">
        <w:rPr>
          <w:noProof/>
        </w:rPr>
        <w:t xml:space="preserve">inter </w:t>
      </w:r>
      <w:r w:rsidR="00346F63" w:rsidRPr="00AF796F">
        <w:rPr>
          <w:noProof/>
        </w:rPr>
        <w:t>Months</w:t>
      </w:r>
      <w:r w:rsidRPr="00AF796F">
        <w:rPr>
          <w:noProof/>
        </w:rPr>
        <w:t>)</w:t>
      </w:r>
      <w:bookmarkEnd w:id="346"/>
      <w:bookmarkEnd w:id="347"/>
    </w:p>
    <w:p w14:paraId="1B3AB253" w14:textId="2A09F0E6" w:rsidR="00EF4F44" w:rsidRDefault="00EF4F44" w:rsidP="00DB641B">
      <w:pPr>
        <w:rPr>
          <w:bCs/>
        </w:rPr>
      </w:pPr>
    </w:p>
    <w:p w14:paraId="7061C40B" w14:textId="628BBD6A" w:rsidR="007551A1" w:rsidRPr="00943E4B" w:rsidRDefault="006826D9" w:rsidP="00DB641B">
      <w:pPr>
        <w:rPr>
          <w:bCs/>
        </w:rPr>
      </w:pPr>
      <w:r>
        <w:rPr>
          <w:bCs/>
        </w:rPr>
        <w:t xml:space="preserve">There are several </w:t>
      </w:r>
      <w:r w:rsidR="00954832">
        <w:rPr>
          <w:bCs/>
        </w:rPr>
        <w:t>factors</w:t>
      </w:r>
      <w:r>
        <w:rPr>
          <w:bCs/>
        </w:rPr>
        <w:t xml:space="preserve"> that contribute to the summer-only EORM being lower than winter. </w:t>
      </w:r>
      <w:r w:rsidR="001F6C9C">
        <w:rPr>
          <w:bCs/>
        </w:rPr>
        <w:t xml:space="preserve">The absence of </w:t>
      </w:r>
      <w:r>
        <w:rPr>
          <w:bCs/>
        </w:rPr>
        <w:t>cold-weather</w:t>
      </w:r>
      <w:r w:rsidR="001F6C9C">
        <w:rPr>
          <w:bCs/>
        </w:rPr>
        <w:t>-driven</w:t>
      </w:r>
      <w:r>
        <w:rPr>
          <w:bCs/>
        </w:rPr>
        <w:t xml:space="preserve"> outages </w:t>
      </w:r>
      <w:r w:rsidR="001F6C9C">
        <w:rPr>
          <w:bCs/>
        </w:rPr>
        <w:t>and the availability of more interruptible</w:t>
      </w:r>
      <w:r w:rsidR="006D5C63">
        <w:rPr>
          <w:bCs/>
        </w:rPr>
        <w:t xml:space="preserve"> or non-firm</w:t>
      </w:r>
      <w:r w:rsidR="001F6C9C">
        <w:rPr>
          <w:bCs/>
        </w:rPr>
        <w:t xml:space="preserve"> natural gas</w:t>
      </w:r>
      <w:r w:rsidR="006D5C63">
        <w:rPr>
          <w:bCs/>
        </w:rPr>
        <w:t xml:space="preserve"> capacity</w:t>
      </w:r>
      <w:r w:rsidR="001F6C9C">
        <w:rPr>
          <w:bCs/>
        </w:rPr>
        <w:t xml:space="preserve"> contribute to higher summer reliability</w:t>
      </w:r>
      <w:r>
        <w:rPr>
          <w:bCs/>
        </w:rPr>
        <w:t xml:space="preserve">. However, other drivers differentiating the seasons remain. Those include </w:t>
      </w:r>
      <w:r w:rsidR="00C46865">
        <w:rPr>
          <w:bCs/>
        </w:rPr>
        <w:t xml:space="preserve">higher </w:t>
      </w:r>
      <w:r>
        <w:rPr>
          <w:bCs/>
        </w:rPr>
        <w:t xml:space="preserve">winter </w:t>
      </w:r>
      <w:r w:rsidR="58023743" w:rsidRPr="458F86C6">
        <w:t>peak load</w:t>
      </w:r>
      <w:r w:rsidR="080B7B86" w:rsidRPr="458F86C6">
        <w:t xml:space="preserve"> </w:t>
      </w:r>
      <w:r w:rsidRPr="00943E4B">
        <w:rPr>
          <w:bCs/>
        </w:rPr>
        <w:t xml:space="preserve">volatility </w:t>
      </w:r>
      <w:r w:rsidR="00C46865" w:rsidRPr="00943E4B">
        <w:rPr>
          <w:bCs/>
        </w:rPr>
        <w:t>an</w:t>
      </w:r>
      <w:r w:rsidRPr="00943E4B">
        <w:rPr>
          <w:bCs/>
        </w:rPr>
        <w:t xml:space="preserve">d </w:t>
      </w:r>
      <w:r w:rsidR="00C46865" w:rsidRPr="00943E4B">
        <w:rPr>
          <w:bCs/>
        </w:rPr>
        <w:t>more market</w:t>
      </w:r>
      <w:r w:rsidRPr="00943E4B">
        <w:rPr>
          <w:bCs/>
        </w:rPr>
        <w:t xml:space="preserve"> resources </w:t>
      </w:r>
      <w:r w:rsidR="00954832" w:rsidRPr="00943E4B">
        <w:rPr>
          <w:bCs/>
        </w:rPr>
        <w:t>being</w:t>
      </w:r>
      <w:r w:rsidR="00C46865" w:rsidRPr="00943E4B">
        <w:rPr>
          <w:bCs/>
        </w:rPr>
        <w:t xml:space="preserve"> </w:t>
      </w:r>
      <w:r w:rsidRPr="00943E4B">
        <w:rPr>
          <w:bCs/>
        </w:rPr>
        <w:t>available in the summer</w:t>
      </w:r>
      <w:r w:rsidR="00954832" w:rsidRPr="00943E4B">
        <w:rPr>
          <w:bCs/>
        </w:rPr>
        <w:t>,</w:t>
      </w:r>
      <w:r w:rsidR="00C46865" w:rsidRPr="00943E4B">
        <w:rPr>
          <w:bCs/>
        </w:rPr>
        <w:t xml:space="preserve"> leading to more economic market purchases. </w:t>
      </w:r>
      <w:r w:rsidR="007551A1" w:rsidRPr="00943E4B">
        <w:rPr>
          <w:bCs/>
        </w:rPr>
        <w:t xml:space="preserve">This is </w:t>
      </w:r>
      <w:r w:rsidR="00954832" w:rsidRPr="00943E4B">
        <w:rPr>
          <w:bCs/>
        </w:rPr>
        <w:t>caused</w:t>
      </w:r>
      <w:r w:rsidR="007551A1" w:rsidRPr="00943E4B">
        <w:rPr>
          <w:bCs/>
        </w:rPr>
        <w:t xml:space="preserve"> by many of Southern Company’s northern neighbors being modeled as carrying more summer reserves once they were calibrated to an annual reliability level of 1-in-10</w:t>
      </w:r>
      <w:r w:rsidR="00954832" w:rsidRPr="00943E4B">
        <w:rPr>
          <w:bCs/>
        </w:rPr>
        <w:t>,</w:t>
      </w:r>
      <w:r w:rsidR="007551A1" w:rsidRPr="00943E4B">
        <w:rPr>
          <w:bCs/>
        </w:rPr>
        <w:t xml:space="preserve"> as shown in </w:t>
      </w:r>
      <w:r w:rsidR="007551A1" w:rsidRPr="00943E4B">
        <w:rPr>
          <w:bCs/>
        </w:rPr>
        <w:fldChar w:fldCharType="begin"/>
      </w:r>
      <w:r w:rsidR="007551A1" w:rsidRPr="00943E4B">
        <w:rPr>
          <w:bCs/>
        </w:rPr>
        <w:instrText xml:space="preserve"> REF _Ref513785495 \h </w:instrText>
      </w:r>
      <w:r w:rsidR="00943E4B">
        <w:rPr>
          <w:bCs/>
        </w:rPr>
        <w:instrText xml:space="preserve"> \* MERGEFORMAT </w:instrText>
      </w:r>
      <w:r w:rsidR="007551A1" w:rsidRPr="00943E4B">
        <w:rPr>
          <w:bCs/>
        </w:rPr>
      </w:r>
      <w:r w:rsidR="007551A1" w:rsidRPr="00943E4B">
        <w:rPr>
          <w:bCs/>
        </w:rPr>
        <w:fldChar w:fldCharType="separate"/>
      </w:r>
      <w:r w:rsidR="00161C58">
        <w:t xml:space="preserve">Table </w:t>
      </w:r>
      <w:r w:rsidR="00161C58">
        <w:rPr>
          <w:noProof/>
        </w:rPr>
        <w:t>I</w:t>
      </w:r>
      <w:r w:rsidR="00161C58">
        <w:rPr>
          <w:noProof/>
        </w:rPr>
        <w:noBreakHyphen/>
        <w:t>1</w:t>
      </w:r>
      <w:r w:rsidR="007551A1" w:rsidRPr="00943E4B">
        <w:rPr>
          <w:bCs/>
        </w:rPr>
        <w:fldChar w:fldCharType="end"/>
      </w:r>
      <w:r w:rsidR="007551A1" w:rsidRPr="00943E4B">
        <w:rPr>
          <w:bCs/>
        </w:rPr>
        <w:t xml:space="preserve"> and </w:t>
      </w:r>
      <w:r w:rsidR="007551A1" w:rsidRPr="00943E4B">
        <w:rPr>
          <w:bCs/>
        </w:rPr>
        <w:fldChar w:fldCharType="begin"/>
      </w:r>
      <w:r w:rsidR="007551A1" w:rsidRPr="00943E4B">
        <w:rPr>
          <w:bCs/>
        </w:rPr>
        <w:instrText xml:space="preserve"> REF _Ref513785504 \h </w:instrText>
      </w:r>
      <w:r w:rsidR="00943E4B">
        <w:rPr>
          <w:bCs/>
        </w:rPr>
        <w:instrText xml:space="preserve"> \* MERGEFORMAT </w:instrText>
      </w:r>
      <w:r w:rsidR="007551A1" w:rsidRPr="00943E4B">
        <w:rPr>
          <w:bCs/>
        </w:rPr>
      </w:r>
      <w:r w:rsidR="007551A1" w:rsidRPr="00943E4B">
        <w:rPr>
          <w:bCs/>
        </w:rPr>
        <w:fldChar w:fldCharType="separate"/>
      </w:r>
      <w:r w:rsidR="00161C58">
        <w:t xml:space="preserve">Table </w:t>
      </w:r>
      <w:r w:rsidR="00161C58">
        <w:rPr>
          <w:noProof/>
        </w:rPr>
        <w:t>I</w:t>
      </w:r>
      <w:r w:rsidR="00161C58">
        <w:rPr>
          <w:noProof/>
        </w:rPr>
        <w:noBreakHyphen/>
        <w:t>2</w:t>
      </w:r>
      <w:r w:rsidR="007551A1" w:rsidRPr="00943E4B">
        <w:rPr>
          <w:bCs/>
        </w:rPr>
        <w:fldChar w:fldCharType="end"/>
      </w:r>
      <w:r w:rsidR="007551A1" w:rsidRPr="00943E4B">
        <w:rPr>
          <w:bCs/>
        </w:rPr>
        <w:t xml:space="preserve">. </w:t>
      </w:r>
      <w:r w:rsidR="00146609" w:rsidRPr="00943E4B">
        <w:rPr>
          <w:bCs/>
        </w:rPr>
        <w:fldChar w:fldCharType="begin"/>
      </w:r>
      <w:r w:rsidR="00146609" w:rsidRPr="00943E4B">
        <w:rPr>
          <w:bCs/>
        </w:rPr>
        <w:instrText xml:space="preserve"> REF _Ref84497854 \h </w:instrText>
      </w:r>
      <w:r w:rsidR="00943E4B">
        <w:rPr>
          <w:bCs/>
        </w:rPr>
        <w:instrText xml:space="preserve"> \* MERGEFORMAT </w:instrText>
      </w:r>
      <w:r w:rsidR="00146609" w:rsidRPr="00943E4B">
        <w:rPr>
          <w:bCs/>
        </w:rPr>
      </w:r>
      <w:r w:rsidR="00146609" w:rsidRPr="00943E4B">
        <w:rPr>
          <w:bCs/>
        </w:rPr>
        <w:fldChar w:fldCharType="separate"/>
      </w:r>
      <w:r w:rsidR="00161C58" w:rsidRPr="00943E4B">
        <w:t xml:space="preserve">Figure </w:t>
      </w:r>
      <w:r w:rsidR="00161C58">
        <w:rPr>
          <w:noProof/>
        </w:rPr>
        <w:t>III</w:t>
      </w:r>
      <w:r w:rsidR="00161C58" w:rsidRPr="00943E4B">
        <w:t>.</w:t>
      </w:r>
      <w:r w:rsidR="00161C58">
        <w:rPr>
          <w:noProof/>
        </w:rPr>
        <w:t>4</w:t>
      </w:r>
      <w:r w:rsidR="00146609" w:rsidRPr="00943E4B">
        <w:rPr>
          <w:bCs/>
        </w:rPr>
        <w:fldChar w:fldCharType="end"/>
      </w:r>
      <w:r w:rsidR="00954832" w:rsidRPr="00943E4B">
        <w:rPr>
          <w:bCs/>
        </w:rPr>
        <w:t xml:space="preserve"> below</w:t>
      </w:r>
      <w:r w:rsidR="00572E8F" w:rsidRPr="00943E4B">
        <w:rPr>
          <w:bCs/>
        </w:rPr>
        <w:t xml:space="preserve"> shows the average monthly purchases by season. </w:t>
      </w:r>
    </w:p>
    <w:p w14:paraId="42CF44DB" w14:textId="77777777" w:rsidR="007551A1" w:rsidRPr="00943E4B" w:rsidRDefault="007551A1" w:rsidP="00DB641B">
      <w:pPr>
        <w:rPr>
          <w:bCs/>
        </w:rPr>
      </w:pPr>
    </w:p>
    <w:p w14:paraId="620694A0" w14:textId="11103B83" w:rsidR="006826D9" w:rsidRPr="00943E4B" w:rsidRDefault="006826D9" w:rsidP="00DB641B">
      <w:pPr>
        <w:rPr>
          <w:bCs/>
        </w:rPr>
      </w:pPr>
    </w:p>
    <w:p w14:paraId="1D56C8DE" w14:textId="3C55A953" w:rsidR="009E51E5" w:rsidRPr="00943E4B" w:rsidRDefault="00BB56FD" w:rsidP="009E51E5">
      <w:pPr>
        <w:keepNext/>
      </w:pPr>
      <w:r>
        <w:rPr>
          <w:noProof/>
        </w:rPr>
        <mc:AlternateContent>
          <mc:Choice Requires="wps">
            <w:drawing>
              <wp:anchor distT="0" distB="0" distL="114300" distR="114300" simplePos="0" relativeHeight="251663360" behindDoc="0" locked="0" layoutInCell="1" allowOverlap="1" wp14:anchorId="112E4A01" wp14:editId="6E628EA7">
                <wp:simplePos x="0" y="0"/>
                <wp:positionH relativeFrom="margin">
                  <wp:align>right</wp:align>
                </wp:positionH>
                <wp:positionV relativeFrom="paragraph">
                  <wp:posOffset>187325</wp:posOffset>
                </wp:positionV>
                <wp:extent cx="5879592" cy="4270248"/>
                <wp:effectExtent l="0" t="0" r="26035" b="16510"/>
                <wp:wrapSquare wrapText="bothSides"/>
                <wp:docPr id="43" name="Rectangle 43"/>
                <wp:cNvGraphicFramePr/>
                <a:graphic xmlns:a="http://schemas.openxmlformats.org/drawingml/2006/main">
                  <a:graphicData uri="http://schemas.microsoft.com/office/word/2010/wordprocessingShape">
                    <wps:wsp>
                      <wps:cNvSpPr/>
                      <wps:spPr>
                        <a:xfrm>
                          <a:off x="0" y="0"/>
                          <a:ext cx="5879592" cy="4270248"/>
                        </a:xfrm>
                        <a:prstGeom prst="rect">
                          <a:avLst/>
                        </a:prstGeom>
                        <a:ln/>
                      </wps:spPr>
                      <wps:style>
                        <a:lnRef idx="2">
                          <a:schemeClr val="dk1"/>
                        </a:lnRef>
                        <a:fillRef idx="1">
                          <a:schemeClr val="lt1"/>
                        </a:fillRef>
                        <a:effectRef idx="0">
                          <a:schemeClr val="dk1"/>
                        </a:effectRef>
                        <a:fontRef idx="minor">
                          <a:schemeClr val="dk1"/>
                        </a:fontRef>
                      </wps:style>
                      <wps:txbx>
                        <w:txbxContent>
                          <w:p w14:paraId="4B7BB54D" w14:textId="0002FFAC" w:rsidR="00BB56FD" w:rsidRDefault="00BB56FD" w:rsidP="009F2973">
                            <w:pPr>
                              <w:jc w:val="center"/>
                            </w:pPr>
                            <w:r w:rsidRPr="009F2973">
                              <w:rPr>
                                <w:b/>
                              </w:rPr>
                              <w:t>REDACTED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2E4A01" id="Rectangle 43" o:spid="_x0000_s1029" style="position:absolute;left:0;text-align:left;margin-left:411.75pt;margin-top:14.75pt;width:462.95pt;height:336.25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" fillcolor="white [3201]" strokecolor="black [3200]" strokeweight="2pt">
                <v:textbox>
                  <w:txbxContent>
                    <w:p w14:paraId="4B7BB54D" w14:textId="0002FFAC" w:rsidR="00BB56FD" w:rsidRDefault="00BB56FD" w:rsidP="009F2973">
                      <w:pPr>
                        <w:jc w:val="center"/>
                      </w:pPr>
                      <w:r w:rsidRPr="009F2973">
                        <w:rPr>
                          <w:b/>
                        </w:rPr>
                        <w:t>REDACTED</w:t>
                      </w:r>
                    </w:p>
                  </w:txbxContent>
                </v:textbox>
                <w10:wrap type="square" anchorx="margin"/>
              </v:rect>
            </w:pict>
          </mc:Fallback>
        </mc:AlternateContent>
      </w:r>
    </w:p>
    <w:p w14:paraId="36C7D321" w14:textId="6FD0E7B3" w:rsidR="009E51E5" w:rsidRPr="00943E4B" w:rsidRDefault="009E51E5" w:rsidP="009E51E5">
      <w:pPr>
        <w:pStyle w:val="Caption"/>
        <w:jc w:val="both"/>
        <w:rPr>
          <w:bCs w:val="0"/>
        </w:rPr>
      </w:pPr>
      <w:bookmarkStart w:id="348" w:name="_Ref84497854"/>
      <w:bookmarkStart w:id="349" w:name="_Toc187234681"/>
      <w:r w:rsidRPr="00943E4B">
        <w:t xml:space="preserve">Figure </w:t>
      </w:r>
      <w:r w:rsidR="00F262E6">
        <w:fldChar w:fldCharType="begin"/>
      </w:r>
      <w:r w:rsidR="00F262E6">
        <w:instrText xml:space="preserve"> STYLEREF 1 \s </w:instrText>
      </w:r>
      <w:r w:rsidR="00F262E6">
        <w:fldChar w:fldCharType="separate"/>
      </w:r>
      <w:r w:rsidR="00F262E6">
        <w:rPr>
          <w:noProof/>
        </w:rPr>
        <w:t>III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4</w:t>
      </w:r>
      <w:r w:rsidR="00F262E6">
        <w:fldChar w:fldCharType="end"/>
      </w:r>
      <w:bookmarkEnd w:id="348"/>
      <w:r w:rsidRPr="00943E4B">
        <w:t>. Average Monthly Energy Purchases by Reserve Margin</w:t>
      </w:r>
      <w:bookmarkEnd w:id="349"/>
    </w:p>
    <w:p w14:paraId="4F2B4802" w14:textId="45D029C7" w:rsidR="00DD4BFF" w:rsidRPr="00943E4B" w:rsidRDefault="00DD4BFF" w:rsidP="00DB641B">
      <w:pPr>
        <w:rPr>
          <w:bCs/>
        </w:rPr>
      </w:pPr>
    </w:p>
    <w:p w14:paraId="35D7EB13" w14:textId="77777777" w:rsidR="008967EB" w:rsidRPr="00943E4B" w:rsidRDefault="00102825" w:rsidP="00A76839">
      <w:pPr>
        <w:pStyle w:val="Heading2"/>
        <w:numPr>
          <w:ilvl w:val="1"/>
          <w:numId w:val="13"/>
        </w:numPr>
        <w:ind w:left="360"/>
      </w:pPr>
      <w:bookmarkStart w:id="350" w:name="_Toc440257887"/>
      <w:bookmarkStart w:id="351" w:name="_Toc440260776"/>
      <w:bookmarkStart w:id="352" w:name="_Toc440262240"/>
      <w:bookmarkStart w:id="353" w:name="_Toc440447842"/>
      <w:bookmarkStart w:id="354" w:name="_Toc440447909"/>
      <w:bookmarkStart w:id="355" w:name="_Toc440457959"/>
      <w:bookmarkStart w:id="356" w:name="_Toc440458373"/>
      <w:bookmarkStart w:id="357" w:name="_Toc440447843"/>
      <w:bookmarkStart w:id="358" w:name="_Toc440447910"/>
      <w:bookmarkStart w:id="359" w:name="_Toc440457960"/>
      <w:bookmarkStart w:id="360" w:name="_Toc440458374"/>
      <w:bookmarkStart w:id="361" w:name="_Toc440447845"/>
      <w:bookmarkStart w:id="362" w:name="_Toc440447912"/>
      <w:bookmarkStart w:id="363" w:name="_Toc440457962"/>
      <w:bookmarkStart w:id="364" w:name="_Toc440458376"/>
      <w:bookmarkStart w:id="365" w:name="_Toc440447846"/>
      <w:bookmarkStart w:id="366" w:name="_Toc440447913"/>
      <w:bookmarkStart w:id="367" w:name="_Toc440457963"/>
      <w:bookmarkStart w:id="368" w:name="_Toc440458377"/>
      <w:bookmarkStart w:id="369" w:name="_Toc440447847"/>
      <w:bookmarkStart w:id="370" w:name="_Toc440447914"/>
      <w:bookmarkStart w:id="371" w:name="_Toc440457964"/>
      <w:bookmarkStart w:id="372" w:name="_Toc440458378"/>
      <w:bookmarkStart w:id="373" w:name="_Toc440447848"/>
      <w:bookmarkStart w:id="374" w:name="_Toc440447915"/>
      <w:bookmarkStart w:id="375" w:name="_Toc440457965"/>
      <w:bookmarkStart w:id="376" w:name="_Toc440458379"/>
      <w:bookmarkStart w:id="377" w:name="_Toc440447849"/>
      <w:bookmarkStart w:id="378" w:name="_Toc440447916"/>
      <w:bookmarkStart w:id="379" w:name="_Toc440457966"/>
      <w:bookmarkStart w:id="380" w:name="_Toc440458380"/>
      <w:bookmarkStart w:id="381" w:name="_Toc440262245"/>
      <w:bookmarkStart w:id="382" w:name="_Toc440447917"/>
      <w:bookmarkStart w:id="383" w:name="_Toc440457967"/>
      <w:bookmarkStart w:id="384" w:name="_Toc513710356"/>
      <w:bookmarkStart w:id="385" w:name="_Toc187234617"/>
      <w:bookmarkEnd w:id="342"/>
      <w:bookmarkEnd w:id="343"/>
      <w:bookmarkEnd w:id="344"/>
      <w:bookmarkEnd w:id="345"/>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r w:rsidRPr="00943E4B">
        <w:t>Risk Analysis</w:t>
      </w:r>
      <w:bookmarkEnd w:id="381"/>
      <w:bookmarkEnd w:id="382"/>
      <w:bookmarkEnd w:id="383"/>
      <w:bookmarkEnd w:id="384"/>
      <w:bookmarkEnd w:id="385"/>
    </w:p>
    <w:p w14:paraId="37621856" w14:textId="7F5ACD63" w:rsidR="00697CE5" w:rsidRDefault="00F07605" w:rsidP="00DB641B">
      <w:pPr>
        <w:rPr>
          <w:szCs w:val="24"/>
        </w:rPr>
      </w:pPr>
      <w:r w:rsidRPr="00943E4B">
        <w:rPr>
          <w:szCs w:val="24"/>
        </w:rPr>
        <w:t xml:space="preserve">The </w:t>
      </w:r>
      <w:r w:rsidR="00FE1B4C" w:rsidRPr="00943E4B">
        <w:rPr>
          <w:szCs w:val="24"/>
        </w:rPr>
        <w:t xml:space="preserve">winter-focused </w:t>
      </w:r>
      <w:r w:rsidR="00AB45E2" w:rsidRPr="00943E4B">
        <w:rPr>
          <w:szCs w:val="24"/>
        </w:rPr>
        <w:t xml:space="preserve">combination </w:t>
      </w:r>
      <w:r w:rsidRPr="00943E4B">
        <w:rPr>
          <w:szCs w:val="24"/>
        </w:rPr>
        <w:t xml:space="preserve">of </w:t>
      </w:r>
      <w:r w:rsidR="00EF4F44" w:rsidRPr="00943E4B">
        <w:rPr>
          <w:szCs w:val="24"/>
        </w:rPr>
        <w:t>Production Cost</w:t>
      </w:r>
      <w:r w:rsidR="00AB45E2" w:rsidRPr="00943E4B">
        <w:rPr>
          <w:szCs w:val="24"/>
        </w:rPr>
        <w:t xml:space="preserve">, </w:t>
      </w:r>
      <w:r w:rsidR="00EF4F44" w:rsidRPr="00943E4B">
        <w:rPr>
          <w:szCs w:val="24"/>
        </w:rPr>
        <w:t>Reliability Cost</w:t>
      </w:r>
      <w:r w:rsidR="00912F93" w:rsidRPr="00943E4B">
        <w:rPr>
          <w:szCs w:val="24"/>
        </w:rPr>
        <w:t>,</w:t>
      </w:r>
      <w:r w:rsidR="00AB45E2" w:rsidRPr="00943E4B">
        <w:rPr>
          <w:szCs w:val="24"/>
        </w:rPr>
        <w:t xml:space="preserve"> and </w:t>
      </w:r>
      <w:r w:rsidR="00EF4F44" w:rsidRPr="00943E4B">
        <w:rPr>
          <w:szCs w:val="24"/>
        </w:rPr>
        <w:t>Incremental Capacity Cost</w:t>
      </w:r>
      <w:r w:rsidRPr="00943E4B">
        <w:rPr>
          <w:szCs w:val="24"/>
        </w:rPr>
        <w:t xml:space="preserve"> results in </w:t>
      </w:r>
      <w:r w:rsidR="006471BF" w:rsidRPr="00943E4B">
        <w:rPr>
          <w:szCs w:val="24"/>
        </w:rPr>
        <w:t xml:space="preserve">a </w:t>
      </w:r>
      <w:r w:rsidR="003E7175" w:rsidRPr="00943E4B">
        <w:rPr>
          <w:szCs w:val="24"/>
        </w:rPr>
        <w:t>EORM</w:t>
      </w:r>
      <w:r w:rsidR="00344E3D" w:rsidRPr="00943E4B">
        <w:rPr>
          <w:szCs w:val="24"/>
        </w:rPr>
        <w:t xml:space="preserve"> of </w:t>
      </w:r>
      <w:r w:rsidR="00F01736">
        <w:rPr>
          <w:szCs w:val="24"/>
        </w:rPr>
        <w:t>22.75</w:t>
      </w:r>
      <w:r w:rsidR="00344E3D" w:rsidRPr="00943E4B">
        <w:rPr>
          <w:szCs w:val="24"/>
        </w:rPr>
        <w:t>%</w:t>
      </w:r>
      <w:r w:rsidRPr="00943E4B">
        <w:rPr>
          <w:szCs w:val="24"/>
        </w:rPr>
        <w:t>.</w:t>
      </w:r>
      <w:r w:rsidR="00A648A6">
        <w:rPr>
          <w:szCs w:val="24"/>
        </w:rPr>
        <w:t xml:space="preserve"> </w:t>
      </w:r>
      <w:r w:rsidRPr="00943E4B">
        <w:rPr>
          <w:szCs w:val="24"/>
        </w:rPr>
        <w:t xml:space="preserve">However, since </w:t>
      </w:r>
      <w:r w:rsidR="00344E3D" w:rsidRPr="00943E4B">
        <w:rPr>
          <w:szCs w:val="24"/>
        </w:rPr>
        <w:t xml:space="preserve">Production Cost </w:t>
      </w:r>
      <w:r w:rsidR="00D62E47" w:rsidRPr="00943E4B">
        <w:rPr>
          <w:szCs w:val="24"/>
        </w:rPr>
        <w:t xml:space="preserve">and </w:t>
      </w:r>
      <w:r w:rsidR="00344E3D" w:rsidRPr="00943E4B">
        <w:rPr>
          <w:szCs w:val="24"/>
        </w:rPr>
        <w:t xml:space="preserve">Reliability Cost </w:t>
      </w:r>
      <w:r w:rsidRPr="00943E4B">
        <w:rPr>
          <w:szCs w:val="24"/>
        </w:rPr>
        <w:t xml:space="preserve">are highly dependent on the selected scenario, </w:t>
      </w:r>
      <w:r w:rsidR="00344E3D" w:rsidRPr="00943E4B">
        <w:rPr>
          <w:szCs w:val="24"/>
        </w:rPr>
        <w:t xml:space="preserve">consideration of only the </w:t>
      </w:r>
      <w:r w:rsidR="003E7175" w:rsidRPr="00943E4B">
        <w:rPr>
          <w:szCs w:val="24"/>
        </w:rPr>
        <w:t>EORM</w:t>
      </w:r>
      <w:r w:rsidR="00344E3D" w:rsidRPr="00943E4B">
        <w:rPr>
          <w:szCs w:val="24"/>
        </w:rPr>
        <w:t xml:space="preserve"> does not give a complete picture</w:t>
      </w:r>
      <w:r w:rsidRPr="00943E4B">
        <w:rPr>
          <w:szCs w:val="24"/>
        </w:rPr>
        <w:t>.</w:t>
      </w:r>
      <w:r w:rsidR="00083E87" w:rsidRPr="00943E4B">
        <w:rPr>
          <w:szCs w:val="24"/>
        </w:rPr>
        <w:t xml:space="preserve"> </w:t>
      </w:r>
      <w:r w:rsidR="007009BB" w:rsidRPr="00943E4B">
        <w:rPr>
          <w:szCs w:val="24"/>
        </w:rPr>
        <w:fldChar w:fldCharType="begin"/>
      </w:r>
      <w:r w:rsidR="007009BB" w:rsidRPr="00943E4B">
        <w:rPr>
          <w:szCs w:val="24"/>
        </w:rPr>
        <w:instrText xml:space="preserve"> REF _Ref513786332 \h </w:instrText>
      </w:r>
      <w:r w:rsidR="00943E4B">
        <w:rPr>
          <w:szCs w:val="24"/>
        </w:rPr>
        <w:instrText xml:space="preserve"> \* MERGEFORMAT </w:instrText>
      </w:r>
      <w:r w:rsidR="007009BB" w:rsidRPr="00943E4B">
        <w:rPr>
          <w:szCs w:val="24"/>
        </w:rPr>
      </w:r>
      <w:r w:rsidR="007009BB" w:rsidRPr="00943E4B">
        <w:rPr>
          <w:szCs w:val="24"/>
        </w:rPr>
        <w:fldChar w:fldCharType="separate"/>
      </w:r>
      <w:r w:rsidR="00161C58">
        <w:t xml:space="preserve">Figure </w:t>
      </w:r>
      <w:r w:rsidR="00161C58">
        <w:rPr>
          <w:noProof/>
        </w:rPr>
        <w:t>III</w:t>
      </w:r>
      <w:r w:rsidR="00161C58">
        <w:t>.</w:t>
      </w:r>
      <w:r w:rsidR="00161C58">
        <w:rPr>
          <w:noProof/>
        </w:rPr>
        <w:t>5</w:t>
      </w:r>
      <w:r w:rsidR="007009BB" w:rsidRPr="00943E4B">
        <w:rPr>
          <w:szCs w:val="24"/>
        </w:rPr>
        <w:fldChar w:fldCharType="end"/>
      </w:r>
      <w:r w:rsidR="00954832" w:rsidRPr="00943E4B">
        <w:rPr>
          <w:szCs w:val="24"/>
        </w:rPr>
        <w:t xml:space="preserve"> below</w:t>
      </w:r>
      <w:r w:rsidRPr="00943E4B">
        <w:rPr>
          <w:szCs w:val="24"/>
        </w:rPr>
        <w:t xml:space="preserve"> illustrates the volatility in </w:t>
      </w:r>
      <w:r w:rsidR="00344E3D" w:rsidRPr="00943E4B">
        <w:rPr>
          <w:szCs w:val="24"/>
        </w:rPr>
        <w:t xml:space="preserve">Production </w:t>
      </w:r>
      <w:r w:rsidR="00FE1B4C" w:rsidRPr="00943E4B">
        <w:rPr>
          <w:szCs w:val="24"/>
        </w:rPr>
        <w:t xml:space="preserve">Cost </w:t>
      </w:r>
      <w:r w:rsidR="009454C0" w:rsidRPr="00943E4B">
        <w:rPr>
          <w:szCs w:val="24"/>
        </w:rPr>
        <w:t xml:space="preserve">and </w:t>
      </w:r>
      <w:r w:rsidR="00344E3D" w:rsidRPr="00943E4B">
        <w:rPr>
          <w:szCs w:val="24"/>
        </w:rPr>
        <w:t xml:space="preserve">Reliability </w:t>
      </w:r>
      <w:r w:rsidR="00FE1B4C" w:rsidRPr="00943E4B">
        <w:rPr>
          <w:szCs w:val="24"/>
        </w:rPr>
        <w:t>C</w:t>
      </w:r>
      <w:r w:rsidR="009454C0" w:rsidRPr="00943E4B">
        <w:rPr>
          <w:szCs w:val="24"/>
        </w:rPr>
        <w:t>ost</w:t>
      </w:r>
      <w:r w:rsidRPr="00943E4B">
        <w:rPr>
          <w:szCs w:val="24"/>
        </w:rPr>
        <w:t xml:space="preserve"> exposure.</w:t>
      </w:r>
      <w:r w:rsidR="00083E87" w:rsidRPr="00943E4B">
        <w:rPr>
          <w:szCs w:val="24"/>
        </w:rPr>
        <w:t xml:space="preserve"> </w:t>
      </w:r>
      <w:r w:rsidRPr="00943E4B">
        <w:rPr>
          <w:szCs w:val="24"/>
        </w:rPr>
        <w:t>In s</w:t>
      </w:r>
      <w:r w:rsidRPr="00372AC4">
        <w:rPr>
          <w:szCs w:val="24"/>
        </w:rPr>
        <w:t>cenarios in which lo</w:t>
      </w:r>
      <w:r w:rsidR="009454C0" w:rsidRPr="00372AC4">
        <w:rPr>
          <w:szCs w:val="24"/>
        </w:rPr>
        <w:t xml:space="preserve">ad </w:t>
      </w:r>
      <w:r w:rsidR="00C564AD">
        <w:rPr>
          <w:szCs w:val="24"/>
        </w:rPr>
        <w:t>grows</w:t>
      </w:r>
      <w:r w:rsidR="009454C0" w:rsidRPr="00372AC4">
        <w:rPr>
          <w:szCs w:val="24"/>
        </w:rPr>
        <w:t xml:space="preserve"> faster than expected,</w:t>
      </w:r>
      <w:r w:rsidRPr="00372AC4">
        <w:rPr>
          <w:szCs w:val="24"/>
        </w:rPr>
        <w:t xml:space="preserve"> temperatures are higher</w:t>
      </w:r>
      <w:r w:rsidR="00C347BB">
        <w:rPr>
          <w:szCs w:val="24"/>
        </w:rPr>
        <w:t xml:space="preserve"> (or lower)</w:t>
      </w:r>
      <w:r w:rsidRPr="00372AC4">
        <w:rPr>
          <w:szCs w:val="24"/>
        </w:rPr>
        <w:t xml:space="preserve"> than expected, </w:t>
      </w:r>
      <w:r w:rsidR="009454C0" w:rsidRPr="00372AC4">
        <w:rPr>
          <w:szCs w:val="24"/>
        </w:rPr>
        <w:t xml:space="preserve">or unit performance is poorer than expected, </w:t>
      </w:r>
      <w:r w:rsidR="00344E3D">
        <w:rPr>
          <w:szCs w:val="24"/>
        </w:rPr>
        <w:t>the</w:t>
      </w:r>
      <w:r w:rsidR="004058BC">
        <w:rPr>
          <w:szCs w:val="24"/>
        </w:rPr>
        <w:t xml:space="preserve"> cost </w:t>
      </w:r>
      <w:r w:rsidRPr="00372AC4">
        <w:rPr>
          <w:szCs w:val="24"/>
        </w:rPr>
        <w:t xml:space="preserve">exposure can be much higher than </w:t>
      </w:r>
      <w:r w:rsidR="003E7175">
        <w:rPr>
          <w:szCs w:val="24"/>
        </w:rPr>
        <w:t>the expected case</w:t>
      </w:r>
      <w:r w:rsidRPr="00372AC4">
        <w:rPr>
          <w:szCs w:val="24"/>
        </w:rPr>
        <w:t xml:space="preserve">. </w:t>
      </w:r>
    </w:p>
    <w:p w14:paraId="494C6C50" w14:textId="7CA4C778" w:rsidR="008338DD" w:rsidRDefault="008338DD" w:rsidP="008338DD">
      <w:pPr>
        <w:keepNext/>
        <w:rPr>
          <w:noProof/>
        </w:rPr>
      </w:pPr>
    </w:p>
    <w:p w14:paraId="0DB47DF1" w14:textId="2F668FC7" w:rsidR="00E46205" w:rsidRDefault="00E46205" w:rsidP="008338DD">
      <w:pPr>
        <w:keepNext/>
      </w:pPr>
      <w:r>
        <w:rPr>
          <w:noProof/>
        </w:rPr>
        <w:drawing>
          <wp:inline distT="0" distB="0" distL="0" distR="0" wp14:anchorId="453A8CDC" wp14:editId="52147712">
            <wp:extent cx="5884545" cy="4271916"/>
            <wp:effectExtent l="0" t="0" r="1905" b="0"/>
            <wp:docPr id="195704620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896389" cy="4280515"/>
                    </a:xfrm>
                    <a:prstGeom prst="rect">
                      <a:avLst/>
                    </a:prstGeom>
                    <a:noFill/>
                  </pic:spPr>
                </pic:pic>
              </a:graphicData>
            </a:graphic>
          </wp:inline>
        </w:drawing>
      </w:r>
    </w:p>
    <w:p w14:paraId="13E4276F" w14:textId="02BD3C89" w:rsidR="00ED1098" w:rsidRPr="00124600" w:rsidRDefault="008338DD" w:rsidP="008338DD">
      <w:pPr>
        <w:pStyle w:val="Caption"/>
        <w:jc w:val="both"/>
      </w:pPr>
      <w:bookmarkStart w:id="386" w:name="_Ref513786332"/>
      <w:bookmarkStart w:id="387" w:name="_Toc513710596"/>
      <w:bookmarkStart w:id="388" w:name="_Toc187234682"/>
      <w:r>
        <w:t xml:space="preserve">Figure </w:t>
      </w:r>
      <w:r w:rsidR="00F262E6">
        <w:fldChar w:fldCharType="begin"/>
      </w:r>
      <w:r w:rsidR="00F262E6">
        <w:instrText xml:space="preserve"> STYLEREF 1 \s </w:instrText>
      </w:r>
      <w:r w:rsidR="00F262E6">
        <w:fldChar w:fldCharType="separate"/>
      </w:r>
      <w:r w:rsidR="00F262E6">
        <w:rPr>
          <w:noProof/>
        </w:rPr>
        <w:t>III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5</w:t>
      </w:r>
      <w:r w:rsidR="00F262E6">
        <w:fldChar w:fldCharType="end"/>
      </w:r>
      <w:bookmarkEnd w:id="386"/>
      <w:r>
        <w:t xml:space="preserve">. </w:t>
      </w:r>
      <w:r w:rsidRPr="00CE01CB">
        <w:t>Production and Reliability Cost Distributions for Winter Reserve Margins</w:t>
      </w:r>
      <w:bookmarkEnd w:id="387"/>
      <w:bookmarkEnd w:id="388"/>
    </w:p>
    <w:p w14:paraId="32C99628" w14:textId="47FCB20D" w:rsidR="002F27CB" w:rsidRDefault="002F27CB" w:rsidP="00217F0E">
      <w:pPr>
        <w:rPr>
          <w:szCs w:val="24"/>
        </w:rPr>
      </w:pPr>
    </w:p>
    <w:p w14:paraId="5878E9AB" w14:textId="60BE1C67" w:rsidR="0082201C" w:rsidRPr="00372AC4" w:rsidRDefault="00954832" w:rsidP="00217F0E">
      <w:pPr>
        <w:rPr>
          <w:szCs w:val="24"/>
        </w:rPr>
      </w:pPr>
      <w:r>
        <w:rPr>
          <w:szCs w:val="24"/>
        </w:rPr>
        <w:t>Focusing</w:t>
      </w:r>
      <w:r w:rsidR="00F07605" w:rsidRPr="00B138F0">
        <w:rPr>
          <w:szCs w:val="24"/>
        </w:rPr>
        <w:t xml:space="preserve"> on the most extreme cases </w:t>
      </w:r>
      <w:r w:rsidR="00ED1510">
        <w:rPr>
          <w:szCs w:val="24"/>
        </w:rPr>
        <w:t xml:space="preserve">shown in </w:t>
      </w:r>
      <w:r w:rsidR="00467F98">
        <w:rPr>
          <w:szCs w:val="24"/>
        </w:rPr>
        <w:fldChar w:fldCharType="begin"/>
      </w:r>
      <w:r w:rsidR="00467F98">
        <w:rPr>
          <w:szCs w:val="24"/>
        </w:rPr>
        <w:instrText xml:space="preserve"> REF _Ref513786332 \h </w:instrText>
      </w:r>
      <w:r w:rsidR="00467F98">
        <w:rPr>
          <w:szCs w:val="24"/>
        </w:rPr>
      </w:r>
      <w:r w:rsidR="00467F98">
        <w:rPr>
          <w:szCs w:val="24"/>
        </w:rPr>
        <w:fldChar w:fldCharType="separate"/>
      </w:r>
      <w:r w:rsidR="00161C58">
        <w:t xml:space="preserve">Figure </w:t>
      </w:r>
      <w:r w:rsidR="00161C58">
        <w:rPr>
          <w:noProof/>
        </w:rPr>
        <w:t>III</w:t>
      </w:r>
      <w:r w:rsidR="00161C58">
        <w:t>.</w:t>
      </w:r>
      <w:r w:rsidR="00161C58">
        <w:rPr>
          <w:noProof/>
        </w:rPr>
        <w:t>5</w:t>
      </w:r>
      <w:r w:rsidR="00467F98">
        <w:rPr>
          <w:szCs w:val="24"/>
        </w:rPr>
        <w:fldChar w:fldCharType="end"/>
      </w:r>
      <w:r w:rsidR="00467F98">
        <w:rPr>
          <w:szCs w:val="24"/>
        </w:rPr>
        <w:t xml:space="preserve"> </w:t>
      </w:r>
      <w:r w:rsidR="00F07605" w:rsidRPr="00B138F0">
        <w:rPr>
          <w:szCs w:val="24"/>
        </w:rPr>
        <w:t xml:space="preserve">for each reserve margin further highlights the risk in carrying low </w:t>
      </w:r>
      <w:r w:rsidR="00F07605" w:rsidRPr="00F17F02">
        <w:rPr>
          <w:szCs w:val="24"/>
        </w:rPr>
        <w:t>reserves.</w:t>
      </w:r>
      <w:r w:rsidR="00083E87">
        <w:rPr>
          <w:szCs w:val="24"/>
        </w:rPr>
        <w:t xml:space="preserve"> </w:t>
      </w:r>
      <w:r w:rsidR="007009BB">
        <w:rPr>
          <w:szCs w:val="24"/>
        </w:rPr>
        <w:fldChar w:fldCharType="begin"/>
      </w:r>
      <w:r w:rsidR="007009BB">
        <w:rPr>
          <w:szCs w:val="24"/>
        </w:rPr>
        <w:instrText xml:space="preserve"> REF _Ref513786345 \h </w:instrText>
      </w:r>
      <w:r w:rsidR="007009BB">
        <w:rPr>
          <w:szCs w:val="24"/>
        </w:rPr>
      </w:r>
      <w:r w:rsidR="007009BB">
        <w:rPr>
          <w:szCs w:val="24"/>
        </w:rPr>
        <w:fldChar w:fldCharType="separate"/>
      </w:r>
      <w:r w:rsidR="00161C58">
        <w:t xml:space="preserve">Figure </w:t>
      </w:r>
      <w:r w:rsidR="00161C58">
        <w:rPr>
          <w:noProof/>
        </w:rPr>
        <w:t>III</w:t>
      </w:r>
      <w:r w:rsidR="00161C58">
        <w:t>.</w:t>
      </w:r>
      <w:r w:rsidR="00161C58">
        <w:rPr>
          <w:noProof/>
        </w:rPr>
        <w:t>6</w:t>
      </w:r>
      <w:r w:rsidR="007009BB">
        <w:rPr>
          <w:szCs w:val="24"/>
        </w:rPr>
        <w:fldChar w:fldCharType="end"/>
      </w:r>
      <w:r w:rsidR="003E7175" w:rsidRPr="00F17F02">
        <w:rPr>
          <w:szCs w:val="24"/>
        </w:rPr>
        <w:t xml:space="preserve"> </w:t>
      </w:r>
      <w:r>
        <w:rPr>
          <w:szCs w:val="24"/>
        </w:rPr>
        <w:t xml:space="preserve">below </w:t>
      </w:r>
      <w:r w:rsidR="00F07605" w:rsidRPr="00F17F02">
        <w:rPr>
          <w:szCs w:val="24"/>
        </w:rPr>
        <w:t>shows the exposure for the top 10% of all cases</w:t>
      </w:r>
      <w:r>
        <w:rPr>
          <w:szCs w:val="24"/>
        </w:rPr>
        <w:t>,</w:t>
      </w:r>
      <w:r w:rsidR="00F07605" w:rsidRPr="00F17F02">
        <w:rPr>
          <w:szCs w:val="24"/>
        </w:rPr>
        <w:t xml:space="preserve"> as ranked by </w:t>
      </w:r>
      <w:r w:rsidR="00FE1B4C">
        <w:rPr>
          <w:szCs w:val="24"/>
        </w:rPr>
        <w:t>P</w:t>
      </w:r>
      <w:r w:rsidR="00FE1B4C" w:rsidRPr="00F17F02">
        <w:rPr>
          <w:szCs w:val="24"/>
        </w:rPr>
        <w:t xml:space="preserve">roduction </w:t>
      </w:r>
      <w:r w:rsidR="00FE1B4C">
        <w:rPr>
          <w:szCs w:val="24"/>
        </w:rPr>
        <w:t>C</w:t>
      </w:r>
      <w:r w:rsidR="006471BF" w:rsidRPr="00F17F02">
        <w:rPr>
          <w:szCs w:val="24"/>
        </w:rPr>
        <w:t>osts</w:t>
      </w:r>
      <w:r w:rsidR="009454C0" w:rsidRPr="00F17F02">
        <w:rPr>
          <w:szCs w:val="24"/>
        </w:rPr>
        <w:t xml:space="preserve"> and EUE cost </w:t>
      </w:r>
      <w:r w:rsidR="00F07605" w:rsidRPr="00F17F02">
        <w:rPr>
          <w:szCs w:val="24"/>
        </w:rPr>
        <w:t>exposure.</w:t>
      </w:r>
      <w:r w:rsidR="00083E87">
        <w:rPr>
          <w:szCs w:val="24"/>
        </w:rPr>
        <w:t xml:space="preserve"> </w:t>
      </w:r>
      <w:r w:rsidR="00F07605" w:rsidRPr="00F17F02">
        <w:rPr>
          <w:szCs w:val="24"/>
        </w:rPr>
        <w:t xml:space="preserve">The most extreme case simulated at a </w:t>
      </w:r>
      <w:r w:rsidR="00C347BB">
        <w:rPr>
          <w:szCs w:val="24"/>
        </w:rPr>
        <w:t>20</w:t>
      </w:r>
      <w:r w:rsidR="00F07605" w:rsidRPr="00F17F02">
        <w:rPr>
          <w:szCs w:val="24"/>
        </w:rPr>
        <w:t xml:space="preserve">% </w:t>
      </w:r>
      <w:r w:rsidR="00192A8D" w:rsidRPr="00F17F02">
        <w:rPr>
          <w:szCs w:val="24"/>
        </w:rPr>
        <w:t xml:space="preserve">winter </w:t>
      </w:r>
      <w:r w:rsidR="00F07605" w:rsidRPr="00F17F02">
        <w:rPr>
          <w:szCs w:val="24"/>
        </w:rPr>
        <w:t>reserve margin shows over $</w:t>
      </w:r>
      <w:r w:rsidR="00E46205">
        <w:rPr>
          <w:szCs w:val="24"/>
        </w:rPr>
        <w:t>11</w:t>
      </w:r>
      <w:r w:rsidR="009A32E8" w:rsidRPr="00F17F02">
        <w:rPr>
          <w:szCs w:val="24"/>
        </w:rPr>
        <w:t xml:space="preserve"> </w:t>
      </w:r>
      <w:r w:rsidR="00F07605" w:rsidRPr="00F17F02">
        <w:rPr>
          <w:szCs w:val="24"/>
        </w:rPr>
        <w:t>billion</w:t>
      </w:r>
      <w:r w:rsidR="00192A8D" w:rsidRPr="00F17F02">
        <w:rPr>
          <w:szCs w:val="24"/>
        </w:rPr>
        <w:t xml:space="preserve"> per year</w:t>
      </w:r>
      <w:r w:rsidR="00F07605" w:rsidRPr="00F17F02">
        <w:rPr>
          <w:szCs w:val="24"/>
        </w:rPr>
        <w:t xml:space="preserve"> in total exposure, while the most extreme case at a </w:t>
      </w:r>
      <w:r w:rsidR="00F17F02" w:rsidRPr="00F17F02">
        <w:rPr>
          <w:szCs w:val="24"/>
        </w:rPr>
        <w:t>26</w:t>
      </w:r>
      <w:r w:rsidR="00F07605" w:rsidRPr="00F17F02">
        <w:rPr>
          <w:szCs w:val="24"/>
        </w:rPr>
        <w:t>% reserve margin is approximately $</w:t>
      </w:r>
      <w:r w:rsidR="00E46205">
        <w:rPr>
          <w:szCs w:val="24"/>
        </w:rPr>
        <w:t>8.6</w:t>
      </w:r>
      <w:r w:rsidR="00F07605" w:rsidRPr="00F17F02">
        <w:rPr>
          <w:szCs w:val="24"/>
        </w:rPr>
        <w:t xml:space="preserve"> billion.</w:t>
      </w:r>
    </w:p>
    <w:p w14:paraId="31A9318B" w14:textId="77777777" w:rsidR="002F27CB" w:rsidRDefault="002F27CB"/>
    <w:p w14:paraId="6B3A0EE8" w14:textId="5252A7D0" w:rsidR="00631F69" w:rsidRDefault="00631F69">
      <w:pPr>
        <w:spacing w:line="240" w:lineRule="auto"/>
        <w:jc w:val="left"/>
      </w:pPr>
    </w:p>
    <w:p w14:paraId="2D5AB8B1" w14:textId="666E8C7D" w:rsidR="008338DD" w:rsidRDefault="00B04B86" w:rsidP="008338DD">
      <w:pPr>
        <w:keepNext/>
      </w:pPr>
      <w:r>
        <w:rPr>
          <w:noProof/>
        </w:rPr>
        <w:drawing>
          <wp:inline distT="0" distB="0" distL="0" distR="0" wp14:anchorId="5CFF8E3A" wp14:editId="6DEDBD86">
            <wp:extent cx="5903595" cy="4285746"/>
            <wp:effectExtent l="0" t="0" r="1905" b="635"/>
            <wp:docPr id="16999671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7285" cy="4295684"/>
                    </a:xfrm>
                    <a:prstGeom prst="rect">
                      <a:avLst/>
                    </a:prstGeom>
                    <a:noFill/>
                  </pic:spPr>
                </pic:pic>
              </a:graphicData>
            </a:graphic>
          </wp:inline>
        </w:drawing>
      </w:r>
    </w:p>
    <w:p w14:paraId="0C6C330C" w14:textId="5F79AA70" w:rsidR="00ED1098" w:rsidRPr="00124600" w:rsidRDefault="008338DD" w:rsidP="008338DD">
      <w:pPr>
        <w:pStyle w:val="Caption"/>
        <w:jc w:val="both"/>
      </w:pPr>
      <w:bookmarkStart w:id="389" w:name="_Ref513786345"/>
      <w:bookmarkStart w:id="390" w:name="_Toc513710597"/>
      <w:bookmarkStart w:id="391" w:name="_Toc187234683"/>
      <w:r>
        <w:t xml:space="preserve">Figure </w:t>
      </w:r>
      <w:r w:rsidR="00F262E6">
        <w:fldChar w:fldCharType="begin"/>
      </w:r>
      <w:r w:rsidR="00F262E6">
        <w:instrText xml:space="preserve"> STYLEREF 1 \s </w:instrText>
      </w:r>
      <w:r w:rsidR="00F262E6">
        <w:fldChar w:fldCharType="separate"/>
      </w:r>
      <w:r w:rsidR="00F262E6">
        <w:rPr>
          <w:noProof/>
        </w:rPr>
        <w:t>III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6</w:t>
      </w:r>
      <w:r w:rsidR="00F262E6">
        <w:fldChar w:fldCharType="end"/>
      </w:r>
      <w:bookmarkEnd w:id="389"/>
      <w:r>
        <w:t xml:space="preserve">. </w:t>
      </w:r>
      <w:r w:rsidRPr="0066350F">
        <w:t>Top 10% Distribution for Winter Reserve Margins</w:t>
      </w:r>
      <w:bookmarkEnd w:id="390"/>
      <w:bookmarkEnd w:id="391"/>
    </w:p>
    <w:p w14:paraId="2DEF178C" w14:textId="77777777" w:rsidR="002F27CB" w:rsidRPr="00C627E2" w:rsidRDefault="002F27CB" w:rsidP="00217F0E">
      <w:pPr>
        <w:rPr>
          <w:szCs w:val="24"/>
        </w:rPr>
      </w:pPr>
    </w:p>
    <w:p w14:paraId="48671493" w14:textId="1B306194" w:rsidR="00F07605" w:rsidRDefault="00E41771" w:rsidP="00217F0E">
      <w:pPr>
        <w:rPr>
          <w:szCs w:val="24"/>
        </w:rPr>
      </w:pPr>
      <w:r>
        <w:rPr>
          <w:szCs w:val="24"/>
        </w:rPr>
        <w:t>T</w:t>
      </w:r>
      <w:r w:rsidR="00CE1DAD">
        <w:rPr>
          <w:szCs w:val="24"/>
        </w:rPr>
        <w:t xml:space="preserve">o </w:t>
      </w:r>
      <w:r w:rsidR="00954832">
        <w:rPr>
          <w:szCs w:val="24"/>
        </w:rPr>
        <w:t xml:space="preserve">protect against the potential for an extremely high-cost outcome, additional risk analyses should be performed to </w:t>
      </w:r>
      <w:r w:rsidR="00CE1DAD">
        <w:rPr>
          <w:szCs w:val="24"/>
        </w:rPr>
        <w:t>compar</w:t>
      </w:r>
      <w:r w:rsidR="00954832">
        <w:rPr>
          <w:szCs w:val="24"/>
        </w:rPr>
        <w:t>e</w:t>
      </w:r>
      <w:r w:rsidR="00CE1DAD">
        <w:rPr>
          <w:szCs w:val="24"/>
        </w:rPr>
        <w:t xml:space="preserve"> highly volatile Production</w:t>
      </w:r>
      <w:r w:rsidR="00FE1B4C">
        <w:rPr>
          <w:szCs w:val="24"/>
        </w:rPr>
        <w:t xml:space="preserve"> Costs</w:t>
      </w:r>
      <w:r w:rsidR="00CE1DAD">
        <w:rPr>
          <w:szCs w:val="24"/>
        </w:rPr>
        <w:t xml:space="preserve"> and Reliability Costs and fixed Incremental Capacity Cost</w:t>
      </w:r>
      <w:r w:rsidR="00F07605" w:rsidRPr="00B138F0">
        <w:rPr>
          <w:szCs w:val="24"/>
        </w:rPr>
        <w:t xml:space="preserve">. </w:t>
      </w:r>
      <w:r w:rsidR="00F07605" w:rsidRPr="00372AC4">
        <w:rPr>
          <w:szCs w:val="24"/>
        </w:rPr>
        <w:t>In the casualty insurance business, customers have the option of paying an insurance premium to cover the impact of a catastrophic loss.</w:t>
      </w:r>
      <w:r w:rsidR="00A648A6">
        <w:rPr>
          <w:szCs w:val="24"/>
        </w:rPr>
        <w:t xml:space="preserve"> </w:t>
      </w:r>
      <w:r w:rsidR="00F07605" w:rsidRPr="00372AC4">
        <w:rPr>
          <w:szCs w:val="24"/>
        </w:rPr>
        <w:t xml:space="preserve">In </w:t>
      </w:r>
      <w:r w:rsidR="00FE1B4C">
        <w:rPr>
          <w:szCs w:val="24"/>
        </w:rPr>
        <w:t>this</w:t>
      </w:r>
      <w:r w:rsidR="00FE1B4C" w:rsidRPr="00372AC4">
        <w:rPr>
          <w:szCs w:val="24"/>
        </w:rPr>
        <w:t xml:space="preserve"> </w:t>
      </w:r>
      <w:r w:rsidR="00F07605" w:rsidRPr="00372AC4">
        <w:rPr>
          <w:szCs w:val="24"/>
        </w:rPr>
        <w:t xml:space="preserve">example, the annual insurance premium is higher than the cost of the loss times its probability. Customers are comfortable with paying an amount greater than the average loss because it makes the payments fixed. In the same way, utilities </w:t>
      </w:r>
      <w:r w:rsidR="00ED1510">
        <w:rPr>
          <w:szCs w:val="24"/>
        </w:rPr>
        <w:t>can</w:t>
      </w:r>
      <w:r w:rsidR="00F07605" w:rsidRPr="00372AC4">
        <w:rPr>
          <w:szCs w:val="24"/>
        </w:rPr>
        <w:t xml:space="preserve"> procure capacity at fixed rates slightly above the </w:t>
      </w:r>
      <w:r w:rsidR="003E7175">
        <w:rPr>
          <w:szCs w:val="24"/>
        </w:rPr>
        <w:t>EORM</w:t>
      </w:r>
      <w:r w:rsidR="00F07605" w:rsidRPr="00372AC4">
        <w:rPr>
          <w:szCs w:val="24"/>
        </w:rPr>
        <w:t xml:space="preserve"> to prevent </w:t>
      </w:r>
      <w:r w:rsidR="0087234E">
        <w:rPr>
          <w:szCs w:val="24"/>
        </w:rPr>
        <w:t xml:space="preserve">the possibility of certain </w:t>
      </w:r>
      <w:r w:rsidR="00F07605" w:rsidRPr="00372AC4">
        <w:rPr>
          <w:szCs w:val="24"/>
        </w:rPr>
        <w:t>high</w:t>
      </w:r>
      <w:r w:rsidR="00536023">
        <w:rPr>
          <w:szCs w:val="24"/>
        </w:rPr>
        <w:t>-</w:t>
      </w:r>
      <w:r w:rsidR="00F07605" w:rsidRPr="00372AC4">
        <w:rPr>
          <w:szCs w:val="24"/>
        </w:rPr>
        <w:t>cost outcomes.</w:t>
      </w:r>
      <w:r w:rsidR="00834F1E">
        <w:rPr>
          <w:szCs w:val="24"/>
        </w:rPr>
        <w:t xml:space="preserve"> </w:t>
      </w:r>
      <w:r w:rsidR="00954832">
        <w:rPr>
          <w:szCs w:val="24"/>
        </w:rPr>
        <w:t>T</w:t>
      </w:r>
      <w:r w:rsidR="0087234E" w:rsidRPr="0087234E">
        <w:rPr>
          <w:szCs w:val="24"/>
        </w:rPr>
        <w:t xml:space="preserve">o evaluate the risk of </w:t>
      </w:r>
      <w:r w:rsidR="0087234E">
        <w:rPr>
          <w:szCs w:val="24"/>
        </w:rPr>
        <w:t xml:space="preserve">these </w:t>
      </w:r>
      <w:r w:rsidR="0087234E" w:rsidRPr="0087234E">
        <w:rPr>
          <w:szCs w:val="24"/>
        </w:rPr>
        <w:t>potential high</w:t>
      </w:r>
      <w:r w:rsidR="00536023">
        <w:rPr>
          <w:szCs w:val="24"/>
        </w:rPr>
        <w:t>-</w:t>
      </w:r>
      <w:r w:rsidR="0087234E" w:rsidRPr="0087234E">
        <w:rPr>
          <w:szCs w:val="24"/>
        </w:rPr>
        <w:t xml:space="preserve">cost outcomes </w:t>
      </w:r>
      <w:r w:rsidR="0087234E">
        <w:rPr>
          <w:szCs w:val="24"/>
        </w:rPr>
        <w:t xml:space="preserve">and thus determine how much of an </w:t>
      </w:r>
      <w:r w:rsidR="008E2FDE">
        <w:rPr>
          <w:szCs w:val="24"/>
        </w:rPr>
        <w:t>“</w:t>
      </w:r>
      <w:r w:rsidR="0087234E">
        <w:rPr>
          <w:szCs w:val="24"/>
        </w:rPr>
        <w:t>insurance premium</w:t>
      </w:r>
      <w:r w:rsidR="008E2FDE">
        <w:rPr>
          <w:szCs w:val="24"/>
        </w:rPr>
        <w:t>”</w:t>
      </w:r>
      <w:r w:rsidR="0087234E">
        <w:rPr>
          <w:szCs w:val="24"/>
        </w:rPr>
        <w:t xml:space="preserve"> to pay</w:t>
      </w:r>
      <w:r w:rsidR="00954832">
        <w:rPr>
          <w:szCs w:val="24"/>
        </w:rPr>
        <w:t>,</w:t>
      </w:r>
      <w:r w:rsidR="0087234E">
        <w:rPr>
          <w:szCs w:val="24"/>
        </w:rPr>
        <w:t xml:space="preserve"> </w:t>
      </w:r>
      <w:r w:rsidR="0087234E" w:rsidRPr="0087234E">
        <w:rPr>
          <w:szCs w:val="24"/>
        </w:rPr>
        <w:t>a risk metric called Value at Risk (</w:t>
      </w:r>
      <w:r w:rsidR="008E2FDE">
        <w:rPr>
          <w:szCs w:val="24"/>
        </w:rPr>
        <w:t>“</w:t>
      </w:r>
      <w:r w:rsidR="0087234E" w:rsidRPr="0087234E">
        <w:rPr>
          <w:szCs w:val="24"/>
        </w:rPr>
        <w:t>VaR</w:t>
      </w:r>
      <w:r w:rsidR="008E2FDE">
        <w:rPr>
          <w:szCs w:val="24"/>
        </w:rPr>
        <w:t>”</w:t>
      </w:r>
      <w:r w:rsidR="0087234E" w:rsidRPr="0087234E">
        <w:rPr>
          <w:szCs w:val="24"/>
        </w:rPr>
        <w:t>)</w:t>
      </w:r>
      <w:r w:rsidR="00954832">
        <w:rPr>
          <w:szCs w:val="24"/>
        </w:rPr>
        <w:t xml:space="preserve"> is used</w:t>
      </w:r>
      <w:r w:rsidR="0087234E" w:rsidRPr="0087234E">
        <w:rPr>
          <w:szCs w:val="24"/>
        </w:rPr>
        <w:t>.</w:t>
      </w:r>
    </w:p>
    <w:p w14:paraId="358D2684" w14:textId="443B782C" w:rsidR="00834F1E" w:rsidRDefault="00834F1E" w:rsidP="00217F0E">
      <w:pPr>
        <w:rPr>
          <w:szCs w:val="24"/>
        </w:rPr>
      </w:pPr>
    </w:p>
    <w:p w14:paraId="387E0747" w14:textId="77777777" w:rsidR="00954832" w:rsidRDefault="00954832" w:rsidP="00217F0E">
      <w:pPr>
        <w:rPr>
          <w:szCs w:val="24"/>
        </w:rPr>
      </w:pPr>
    </w:p>
    <w:p w14:paraId="030B6B00" w14:textId="75BB12D4" w:rsidR="00AC147E" w:rsidRDefault="00AC147E" w:rsidP="00217F0E">
      <w:pPr>
        <w:rPr>
          <w:szCs w:val="24"/>
        </w:rPr>
      </w:pPr>
      <w:r>
        <w:rPr>
          <w:szCs w:val="24"/>
        </w:rPr>
        <w:t>VaR is defined as the difference in cost at the expected value and the cost at some specified confidence interval (</w:t>
      </w:r>
      <w:r w:rsidRPr="00CF31ED">
        <w:rPr>
          <w:i/>
          <w:iCs/>
          <w:szCs w:val="24"/>
        </w:rPr>
        <w:t>e.g.</w:t>
      </w:r>
      <w:r>
        <w:rPr>
          <w:szCs w:val="24"/>
        </w:rPr>
        <w:t>, the 85</w:t>
      </w:r>
      <w:r w:rsidRPr="00317647">
        <w:rPr>
          <w:szCs w:val="24"/>
          <w:vertAlign w:val="superscript"/>
        </w:rPr>
        <w:t>th</w:t>
      </w:r>
      <w:r>
        <w:rPr>
          <w:szCs w:val="24"/>
        </w:rPr>
        <w:t xml:space="preserve"> percentile of risk).</w:t>
      </w:r>
      <w:r w:rsidR="00F81937">
        <w:rPr>
          <w:szCs w:val="24"/>
        </w:rPr>
        <w:t xml:space="preserve"> </w:t>
      </w:r>
      <w:r w:rsidR="004322D4">
        <w:rPr>
          <w:szCs w:val="24"/>
        </w:rPr>
        <w:t>The VaR accounts for the customers</w:t>
      </w:r>
      <w:r w:rsidR="00F81937">
        <w:rPr>
          <w:szCs w:val="24"/>
        </w:rPr>
        <w:t>’</w:t>
      </w:r>
      <w:r w:rsidR="004322D4">
        <w:rPr>
          <w:szCs w:val="24"/>
        </w:rPr>
        <w:t xml:space="preserve"> exposure to higher costs above normal conditions.</w:t>
      </w:r>
      <w:r>
        <w:rPr>
          <w:szCs w:val="24"/>
        </w:rPr>
        <w:t xml:space="preserve"> The VaR analysis looks at the incremental increase in expected cost</w:t>
      </w:r>
      <w:r w:rsidR="004322D4">
        <w:rPr>
          <w:szCs w:val="24"/>
        </w:rPr>
        <w:t xml:space="preserve"> </w:t>
      </w:r>
      <w:r>
        <w:rPr>
          <w:szCs w:val="24"/>
        </w:rPr>
        <w:t>to move from one reserve margin to the next reserve margin and compares that</w:t>
      </w:r>
      <w:r w:rsidR="00954832">
        <w:rPr>
          <w:szCs w:val="24"/>
        </w:rPr>
        <w:t xml:space="preserve"> increase</w:t>
      </w:r>
      <w:r>
        <w:rPr>
          <w:szCs w:val="24"/>
        </w:rPr>
        <w:t xml:space="preserve"> with the incremental decrease in VaR. So long as the incremental increase in expected cost is less than the incremental decrease in VaR, the premium (</w:t>
      </w:r>
      <w:r w:rsidRPr="00981A2F">
        <w:rPr>
          <w:i/>
          <w:szCs w:val="24"/>
        </w:rPr>
        <w:t>i.e.</w:t>
      </w:r>
      <w:r>
        <w:rPr>
          <w:szCs w:val="24"/>
        </w:rPr>
        <w:t xml:space="preserve">, the increased expected cost) is </w:t>
      </w:r>
      <w:r w:rsidR="00954832">
        <w:rPr>
          <w:szCs w:val="24"/>
        </w:rPr>
        <w:t>reasonable</w:t>
      </w:r>
      <w:r>
        <w:rPr>
          <w:szCs w:val="24"/>
        </w:rPr>
        <w:t xml:space="preserve"> to protect against the potential high</w:t>
      </w:r>
      <w:r w:rsidR="00536023">
        <w:rPr>
          <w:szCs w:val="24"/>
        </w:rPr>
        <w:t>-</w:t>
      </w:r>
      <w:r>
        <w:rPr>
          <w:szCs w:val="24"/>
        </w:rPr>
        <w:t>cost outcomes.</w:t>
      </w:r>
      <w:r w:rsidR="00083E87">
        <w:rPr>
          <w:szCs w:val="24"/>
        </w:rPr>
        <w:t xml:space="preserve"> </w:t>
      </w:r>
      <w:r>
        <w:rPr>
          <w:szCs w:val="24"/>
        </w:rPr>
        <w:t>The point at which the incremental increase in cost equals the incremental decrease in VaR represents the EORM at that confidence interval (as opposed to the EORM at the weighted average).</w:t>
      </w:r>
    </w:p>
    <w:p w14:paraId="681498B1" w14:textId="77777777" w:rsidR="00F07605" w:rsidRPr="00372AC4" w:rsidRDefault="00F07605" w:rsidP="00217F0E">
      <w:pPr>
        <w:rPr>
          <w:szCs w:val="24"/>
        </w:rPr>
      </w:pPr>
    </w:p>
    <w:p w14:paraId="7932B942" w14:textId="1EBD744F" w:rsidR="00F07605" w:rsidRDefault="00F07605" w:rsidP="00217F0E">
      <w:pPr>
        <w:rPr>
          <w:szCs w:val="24"/>
        </w:rPr>
      </w:pPr>
      <w:r w:rsidRPr="00372AC4">
        <w:rPr>
          <w:szCs w:val="24"/>
        </w:rPr>
        <w:t>The table below illustrates the V</w:t>
      </w:r>
      <w:r w:rsidR="000D135F">
        <w:rPr>
          <w:szCs w:val="24"/>
        </w:rPr>
        <w:t>a</w:t>
      </w:r>
      <w:r w:rsidRPr="00372AC4">
        <w:rPr>
          <w:szCs w:val="24"/>
        </w:rPr>
        <w:t xml:space="preserve">R </w:t>
      </w:r>
      <w:r w:rsidR="002550E2">
        <w:rPr>
          <w:szCs w:val="24"/>
        </w:rPr>
        <w:t xml:space="preserve">at the </w:t>
      </w:r>
      <w:r w:rsidR="002E7B0E">
        <w:rPr>
          <w:szCs w:val="24"/>
        </w:rPr>
        <w:t>80</w:t>
      </w:r>
      <w:r w:rsidR="002E7B0E" w:rsidRPr="00467F98">
        <w:rPr>
          <w:szCs w:val="24"/>
          <w:vertAlign w:val="superscript"/>
        </w:rPr>
        <w:t>th</w:t>
      </w:r>
      <w:r w:rsidR="002E7B0E">
        <w:rPr>
          <w:szCs w:val="24"/>
        </w:rPr>
        <w:t xml:space="preserve"> (VaR80), </w:t>
      </w:r>
      <w:r w:rsidR="002550E2">
        <w:rPr>
          <w:szCs w:val="24"/>
        </w:rPr>
        <w:t>85</w:t>
      </w:r>
      <w:r w:rsidR="002550E2" w:rsidRPr="004B49A6">
        <w:rPr>
          <w:szCs w:val="24"/>
          <w:vertAlign w:val="superscript"/>
        </w:rPr>
        <w:t>th</w:t>
      </w:r>
      <w:r w:rsidR="002550E2">
        <w:rPr>
          <w:szCs w:val="24"/>
        </w:rPr>
        <w:t xml:space="preserve"> </w:t>
      </w:r>
      <w:r w:rsidR="0087234E">
        <w:rPr>
          <w:szCs w:val="24"/>
        </w:rPr>
        <w:t>(VaR85), 90</w:t>
      </w:r>
      <w:r w:rsidR="0087234E" w:rsidRPr="004B49A6">
        <w:rPr>
          <w:szCs w:val="24"/>
          <w:vertAlign w:val="superscript"/>
        </w:rPr>
        <w:t>th</w:t>
      </w:r>
      <w:r w:rsidR="0087234E">
        <w:rPr>
          <w:szCs w:val="24"/>
        </w:rPr>
        <w:t xml:space="preserve"> (VaR90), and 95</w:t>
      </w:r>
      <w:r w:rsidR="0087234E" w:rsidRPr="004B49A6">
        <w:rPr>
          <w:szCs w:val="24"/>
          <w:vertAlign w:val="superscript"/>
        </w:rPr>
        <w:t>th</w:t>
      </w:r>
      <w:r w:rsidR="0087234E">
        <w:rPr>
          <w:szCs w:val="24"/>
        </w:rPr>
        <w:t xml:space="preserve"> (VaR9</w:t>
      </w:r>
      <w:r w:rsidR="00083E87">
        <w:rPr>
          <w:szCs w:val="24"/>
        </w:rPr>
        <w:t>5</w:t>
      </w:r>
      <w:r w:rsidR="0087234E">
        <w:rPr>
          <w:szCs w:val="24"/>
        </w:rPr>
        <w:t xml:space="preserve">) </w:t>
      </w:r>
      <w:r w:rsidR="002550E2">
        <w:rPr>
          <w:szCs w:val="24"/>
        </w:rPr>
        <w:t>percentile</w:t>
      </w:r>
      <w:r w:rsidR="000D135F">
        <w:rPr>
          <w:szCs w:val="24"/>
        </w:rPr>
        <w:t>s</w:t>
      </w:r>
      <w:r w:rsidR="002550E2">
        <w:rPr>
          <w:szCs w:val="24"/>
        </w:rPr>
        <w:t xml:space="preserve"> of confidence for</w:t>
      </w:r>
      <w:r w:rsidR="002550E2" w:rsidRPr="00372AC4">
        <w:rPr>
          <w:szCs w:val="24"/>
        </w:rPr>
        <w:t xml:space="preserve"> </w:t>
      </w:r>
      <w:r w:rsidRPr="00372AC4">
        <w:rPr>
          <w:szCs w:val="24"/>
        </w:rPr>
        <w:t xml:space="preserve">a range of </w:t>
      </w:r>
      <w:r w:rsidR="00CE1DAD">
        <w:rPr>
          <w:szCs w:val="24"/>
        </w:rPr>
        <w:t xml:space="preserve">winter </w:t>
      </w:r>
      <w:r w:rsidRPr="00372AC4">
        <w:rPr>
          <w:szCs w:val="24"/>
        </w:rPr>
        <w:t>reserve margin targets.</w:t>
      </w:r>
      <w:r w:rsidR="00A648A6">
        <w:rPr>
          <w:szCs w:val="24"/>
        </w:rPr>
        <w:t xml:space="preserve">  </w:t>
      </w:r>
    </w:p>
    <w:p w14:paraId="29FA0C98" w14:textId="77777777" w:rsidR="002F27CB" w:rsidRPr="00372AC4" w:rsidRDefault="002F27CB" w:rsidP="00217F0E">
      <w:pPr>
        <w:rPr>
          <w:szCs w:val="24"/>
        </w:rPr>
      </w:pPr>
    </w:p>
    <w:p w14:paraId="78C1E12E" w14:textId="7719357D" w:rsidR="002D6EAA" w:rsidRDefault="002D6EAA" w:rsidP="002D6EAA">
      <w:pPr>
        <w:pStyle w:val="Caption"/>
        <w:keepNext/>
      </w:pPr>
      <w:bookmarkStart w:id="392" w:name="_Ref181257099"/>
      <w:bookmarkStart w:id="393" w:name="_Toc513710544"/>
      <w:bookmarkStart w:id="394" w:name="_Toc187234652"/>
      <w:r>
        <w:t xml:space="preserve">Table </w:t>
      </w:r>
      <w:r w:rsidR="00161C58">
        <w:fldChar w:fldCharType="begin"/>
      </w:r>
      <w:r w:rsidR="00161C58">
        <w:instrText xml:space="preserve"> STYLEREF 1 \s </w:instrText>
      </w:r>
      <w:r w:rsidR="00161C58">
        <w:fldChar w:fldCharType="separate"/>
      </w:r>
      <w:r w:rsidR="00161C58">
        <w:rPr>
          <w:noProof/>
        </w:rPr>
        <w:t>III</w:t>
      </w:r>
      <w:r w:rsidR="00161C58">
        <w:rPr>
          <w:noProof/>
        </w:rPr>
        <w:fldChar w:fldCharType="end"/>
      </w:r>
      <w:r w:rsidR="00922797">
        <w:noBreakHyphen/>
      </w:r>
      <w:r w:rsidR="00161C58">
        <w:fldChar w:fldCharType="begin"/>
      </w:r>
      <w:r w:rsidR="00161C58">
        <w:instrText xml:space="preserve"> SEQ Table \* ARABIC \s 1 </w:instrText>
      </w:r>
      <w:r w:rsidR="00161C58">
        <w:fldChar w:fldCharType="separate"/>
      </w:r>
      <w:r w:rsidR="00095413">
        <w:rPr>
          <w:noProof/>
        </w:rPr>
        <w:t>1</w:t>
      </w:r>
      <w:r w:rsidR="00161C58">
        <w:rPr>
          <w:noProof/>
        </w:rPr>
        <w:fldChar w:fldCharType="end"/>
      </w:r>
      <w:bookmarkEnd w:id="392"/>
      <w:r>
        <w:t>. Value at Risk</w:t>
      </w:r>
      <w:bookmarkEnd w:id="393"/>
      <w:bookmarkEnd w:id="394"/>
    </w:p>
    <w:tbl>
      <w:tblPr>
        <w:tblW w:w="8190" w:type="dxa"/>
        <w:jc w:val="center"/>
        <w:tblLook w:val="04A0" w:firstRow="1" w:lastRow="0" w:firstColumn="1" w:lastColumn="0" w:noHBand="0" w:noVBand="1"/>
      </w:tblPr>
      <w:tblGrid>
        <w:gridCol w:w="1705"/>
        <w:gridCol w:w="1710"/>
        <w:gridCol w:w="1260"/>
        <w:gridCol w:w="1170"/>
        <w:gridCol w:w="1170"/>
        <w:gridCol w:w="1175"/>
      </w:tblGrid>
      <w:tr w:rsidR="006C2BE6" w:rsidRPr="00C347BB" w14:paraId="6547A886" w14:textId="77777777" w:rsidTr="008E1F8B">
        <w:trPr>
          <w:trHeight w:val="510"/>
          <w:tblHeader/>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17415B" w14:textId="77777777" w:rsidR="00C347BB" w:rsidRPr="00C347BB" w:rsidRDefault="00C347BB" w:rsidP="008E1F8B">
            <w:pPr>
              <w:spacing w:line="240" w:lineRule="auto"/>
              <w:ind w:left="-27"/>
              <w:jc w:val="center"/>
              <w:rPr>
                <w:rFonts w:asciiTheme="majorHAnsi" w:hAnsiTheme="majorHAnsi" w:cstheme="majorHAnsi"/>
                <w:b/>
                <w:bCs/>
                <w:color w:val="000000"/>
                <w:sz w:val="20"/>
                <w:szCs w:val="20"/>
              </w:rPr>
            </w:pPr>
            <w:r w:rsidRPr="00C347BB">
              <w:rPr>
                <w:rFonts w:asciiTheme="majorHAnsi" w:hAnsiTheme="majorHAnsi" w:cstheme="majorHAnsi"/>
                <w:b/>
                <w:bCs/>
                <w:color w:val="000000"/>
                <w:sz w:val="20"/>
                <w:szCs w:val="20"/>
              </w:rPr>
              <w:t>Reserve Margin</w:t>
            </w:r>
          </w:p>
        </w:tc>
        <w:tc>
          <w:tcPr>
            <w:tcW w:w="1710" w:type="dxa"/>
            <w:tcBorders>
              <w:top w:val="single" w:sz="4" w:space="0" w:color="auto"/>
              <w:left w:val="nil"/>
              <w:bottom w:val="single" w:sz="4" w:space="0" w:color="auto"/>
              <w:right w:val="single" w:sz="4" w:space="0" w:color="auto"/>
            </w:tcBorders>
            <w:shd w:val="clear" w:color="auto" w:fill="auto"/>
            <w:vAlign w:val="center"/>
            <w:hideMark/>
          </w:tcPr>
          <w:p w14:paraId="483336F8" w14:textId="77777777" w:rsidR="00C347BB" w:rsidRPr="00C347BB" w:rsidRDefault="00C347BB" w:rsidP="008E1F8B">
            <w:pPr>
              <w:spacing w:line="240" w:lineRule="auto"/>
              <w:jc w:val="center"/>
              <w:rPr>
                <w:rFonts w:asciiTheme="majorHAnsi" w:hAnsiTheme="majorHAnsi" w:cstheme="majorHAnsi"/>
                <w:b/>
                <w:bCs/>
                <w:color w:val="000000"/>
                <w:sz w:val="20"/>
                <w:szCs w:val="20"/>
              </w:rPr>
            </w:pPr>
            <w:r w:rsidRPr="00C347BB">
              <w:rPr>
                <w:rFonts w:asciiTheme="majorHAnsi" w:hAnsiTheme="majorHAnsi" w:cstheme="majorHAnsi"/>
                <w:b/>
                <w:bCs/>
                <w:color w:val="000000"/>
                <w:sz w:val="20"/>
                <w:szCs w:val="20"/>
              </w:rPr>
              <w:t>Expected Cost (M$)</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14:paraId="6FD0AC0C" w14:textId="77777777" w:rsidR="00C347BB" w:rsidRPr="00C347BB" w:rsidRDefault="00C347BB" w:rsidP="008E1F8B">
            <w:pPr>
              <w:spacing w:line="240" w:lineRule="auto"/>
              <w:jc w:val="center"/>
              <w:rPr>
                <w:rFonts w:asciiTheme="majorHAnsi" w:hAnsiTheme="majorHAnsi" w:cstheme="majorHAnsi"/>
                <w:b/>
                <w:bCs/>
                <w:color w:val="000000"/>
                <w:sz w:val="20"/>
                <w:szCs w:val="20"/>
              </w:rPr>
            </w:pPr>
            <w:r w:rsidRPr="00C347BB">
              <w:rPr>
                <w:rFonts w:asciiTheme="majorHAnsi" w:hAnsiTheme="majorHAnsi" w:cstheme="majorHAnsi"/>
                <w:b/>
                <w:bCs/>
                <w:color w:val="000000"/>
                <w:sz w:val="20"/>
                <w:szCs w:val="20"/>
              </w:rPr>
              <w:t>VaR80 (M$)</w:t>
            </w:r>
          </w:p>
        </w:tc>
        <w:tc>
          <w:tcPr>
            <w:tcW w:w="1170" w:type="dxa"/>
            <w:tcBorders>
              <w:top w:val="single" w:sz="4" w:space="0" w:color="auto"/>
              <w:left w:val="nil"/>
              <w:bottom w:val="single" w:sz="4" w:space="0" w:color="auto"/>
              <w:right w:val="single" w:sz="4" w:space="0" w:color="auto"/>
            </w:tcBorders>
            <w:shd w:val="clear" w:color="auto" w:fill="auto"/>
            <w:vAlign w:val="center"/>
            <w:hideMark/>
          </w:tcPr>
          <w:p w14:paraId="33652E0A" w14:textId="77777777" w:rsidR="00C347BB" w:rsidRPr="00C347BB" w:rsidRDefault="00C347BB" w:rsidP="008E1F8B">
            <w:pPr>
              <w:spacing w:line="240" w:lineRule="auto"/>
              <w:jc w:val="center"/>
              <w:rPr>
                <w:rFonts w:asciiTheme="majorHAnsi" w:hAnsiTheme="majorHAnsi" w:cstheme="majorHAnsi"/>
                <w:b/>
                <w:bCs/>
                <w:color w:val="000000"/>
                <w:sz w:val="20"/>
                <w:szCs w:val="20"/>
              </w:rPr>
            </w:pPr>
            <w:r w:rsidRPr="00C347BB">
              <w:rPr>
                <w:rFonts w:asciiTheme="majorHAnsi" w:hAnsiTheme="majorHAnsi" w:cstheme="majorHAnsi"/>
                <w:b/>
                <w:bCs/>
                <w:color w:val="000000"/>
                <w:sz w:val="20"/>
                <w:szCs w:val="20"/>
              </w:rPr>
              <w:t>VaR85 (M$)</w:t>
            </w:r>
          </w:p>
        </w:tc>
        <w:tc>
          <w:tcPr>
            <w:tcW w:w="1170" w:type="dxa"/>
            <w:tcBorders>
              <w:top w:val="single" w:sz="4" w:space="0" w:color="auto"/>
              <w:left w:val="nil"/>
              <w:bottom w:val="single" w:sz="4" w:space="0" w:color="auto"/>
              <w:right w:val="single" w:sz="4" w:space="0" w:color="auto"/>
            </w:tcBorders>
            <w:shd w:val="clear" w:color="auto" w:fill="auto"/>
            <w:vAlign w:val="center"/>
            <w:hideMark/>
          </w:tcPr>
          <w:p w14:paraId="4BA3FBD7" w14:textId="77777777" w:rsidR="00C347BB" w:rsidRPr="00C347BB" w:rsidRDefault="00C347BB" w:rsidP="008E1F8B">
            <w:pPr>
              <w:spacing w:line="240" w:lineRule="auto"/>
              <w:jc w:val="center"/>
              <w:rPr>
                <w:rFonts w:asciiTheme="majorHAnsi" w:hAnsiTheme="majorHAnsi" w:cstheme="majorHAnsi"/>
                <w:b/>
                <w:bCs/>
                <w:color w:val="000000"/>
                <w:sz w:val="20"/>
                <w:szCs w:val="20"/>
              </w:rPr>
            </w:pPr>
            <w:r w:rsidRPr="00C347BB">
              <w:rPr>
                <w:rFonts w:asciiTheme="majorHAnsi" w:hAnsiTheme="majorHAnsi" w:cstheme="majorHAnsi"/>
                <w:b/>
                <w:bCs/>
                <w:color w:val="000000"/>
                <w:sz w:val="20"/>
                <w:szCs w:val="20"/>
              </w:rPr>
              <w:t>VaR90 (M$)</w:t>
            </w:r>
          </w:p>
        </w:tc>
        <w:tc>
          <w:tcPr>
            <w:tcW w:w="1175" w:type="dxa"/>
            <w:tcBorders>
              <w:top w:val="single" w:sz="4" w:space="0" w:color="auto"/>
              <w:left w:val="nil"/>
              <w:bottom w:val="single" w:sz="4" w:space="0" w:color="auto"/>
              <w:right w:val="single" w:sz="4" w:space="0" w:color="auto"/>
            </w:tcBorders>
            <w:shd w:val="clear" w:color="auto" w:fill="auto"/>
            <w:vAlign w:val="center"/>
            <w:hideMark/>
          </w:tcPr>
          <w:p w14:paraId="6D014883" w14:textId="77777777" w:rsidR="00C347BB" w:rsidRPr="00C347BB" w:rsidRDefault="00C347BB" w:rsidP="008E1F8B">
            <w:pPr>
              <w:spacing w:line="240" w:lineRule="auto"/>
              <w:jc w:val="center"/>
              <w:rPr>
                <w:rFonts w:asciiTheme="majorHAnsi" w:hAnsiTheme="majorHAnsi" w:cstheme="majorHAnsi"/>
                <w:b/>
                <w:bCs/>
                <w:color w:val="000000"/>
                <w:sz w:val="20"/>
                <w:szCs w:val="20"/>
              </w:rPr>
            </w:pPr>
            <w:r w:rsidRPr="00C347BB">
              <w:rPr>
                <w:rFonts w:asciiTheme="majorHAnsi" w:hAnsiTheme="majorHAnsi" w:cstheme="majorHAnsi"/>
                <w:b/>
                <w:bCs/>
                <w:color w:val="000000"/>
                <w:sz w:val="20"/>
                <w:szCs w:val="20"/>
              </w:rPr>
              <w:t>VaR95 (M$)</w:t>
            </w:r>
          </w:p>
        </w:tc>
      </w:tr>
      <w:tr w:rsidR="005F4C8E" w:rsidRPr="00C347BB" w14:paraId="5148C065"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3C8FDDE9" w14:textId="76501F5B" w:rsidR="005F4C8E" w:rsidRPr="00C347BB" w:rsidRDefault="005F4C8E" w:rsidP="008E1F8B">
            <w:pPr>
              <w:spacing w:line="240" w:lineRule="auto"/>
              <w:jc w:val="center"/>
              <w:rPr>
                <w:rFonts w:asciiTheme="majorHAnsi" w:hAnsiTheme="majorHAnsi" w:cstheme="majorHAnsi"/>
                <w:color w:val="000000"/>
                <w:sz w:val="20"/>
                <w:szCs w:val="20"/>
              </w:rPr>
            </w:pPr>
            <w:r w:rsidRPr="00593F91">
              <w:t>20.00%</w:t>
            </w:r>
          </w:p>
        </w:tc>
        <w:tc>
          <w:tcPr>
            <w:tcW w:w="1710" w:type="dxa"/>
            <w:tcBorders>
              <w:top w:val="nil"/>
              <w:left w:val="nil"/>
              <w:bottom w:val="single" w:sz="4" w:space="0" w:color="auto"/>
              <w:right w:val="single" w:sz="4" w:space="0" w:color="auto"/>
            </w:tcBorders>
            <w:shd w:val="clear" w:color="auto" w:fill="auto"/>
            <w:noWrap/>
            <w:vAlign w:val="center"/>
          </w:tcPr>
          <w:p w14:paraId="76411905" w14:textId="72BE6886" w:rsidR="005F4C8E" w:rsidRPr="00C347BB" w:rsidRDefault="005F4C8E" w:rsidP="008E1F8B">
            <w:pPr>
              <w:spacing w:line="240" w:lineRule="auto"/>
              <w:jc w:val="center"/>
              <w:rPr>
                <w:rFonts w:asciiTheme="majorHAnsi" w:hAnsiTheme="majorHAnsi" w:cstheme="majorHAnsi"/>
                <w:color w:val="000000"/>
                <w:sz w:val="20"/>
                <w:szCs w:val="20"/>
              </w:rPr>
            </w:pPr>
            <w:r w:rsidRPr="00593F91">
              <w:t>5,293.8</w:t>
            </w:r>
          </w:p>
        </w:tc>
        <w:tc>
          <w:tcPr>
            <w:tcW w:w="1260" w:type="dxa"/>
            <w:tcBorders>
              <w:top w:val="nil"/>
              <w:left w:val="nil"/>
              <w:bottom w:val="single" w:sz="4" w:space="0" w:color="auto"/>
              <w:right w:val="single" w:sz="4" w:space="0" w:color="auto"/>
            </w:tcBorders>
            <w:shd w:val="clear" w:color="auto" w:fill="auto"/>
            <w:noWrap/>
            <w:vAlign w:val="center"/>
          </w:tcPr>
          <w:p w14:paraId="3A69CBCE" w14:textId="229AAE9B" w:rsidR="005F4C8E" w:rsidRPr="00C347BB" w:rsidRDefault="005F4C8E" w:rsidP="008E1F8B">
            <w:pPr>
              <w:spacing w:line="240" w:lineRule="auto"/>
              <w:jc w:val="center"/>
              <w:rPr>
                <w:rFonts w:asciiTheme="majorHAnsi" w:hAnsiTheme="majorHAnsi" w:cstheme="majorHAnsi"/>
                <w:color w:val="000000"/>
                <w:sz w:val="20"/>
                <w:szCs w:val="20"/>
              </w:rPr>
            </w:pPr>
            <w:r w:rsidRPr="00593F91">
              <w:t>344.9</w:t>
            </w:r>
          </w:p>
        </w:tc>
        <w:tc>
          <w:tcPr>
            <w:tcW w:w="1170" w:type="dxa"/>
            <w:tcBorders>
              <w:top w:val="nil"/>
              <w:left w:val="nil"/>
              <w:bottom w:val="single" w:sz="4" w:space="0" w:color="auto"/>
              <w:right w:val="single" w:sz="4" w:space="0" w:color="auto"/>
            </w:tcBorders>
            <w:shd w:val="clear" w:color="auto" w:fill="auto"/>
            <w:noWrap/>
            <w:vAlign w:val="center"/>
          </w:tcPr>
          <w:p w14:paraId="07BC6266" w14:textId="3EC87D9D" w:rsidR="005F4C8E" w:rsidRPr="00C347BB" w:rsidRDefault="005F4C8E" w:rsidP="008E1F8B">
            <w:pPr>
              <w:spacing w:line="240" w:lineRule="auto"/>
              <w:jc w:val="center"/>
              <w:rPr>
                <w:rFonts w:asciiTheme="majorHAnsi" w:hAnsiTheme="majorHAnsi" w:cstheme="majorHAnsi"/>
                <w:color w:val="000000"/>
                <w:sz w:val="20"/>
                <w:szCs w:val="20"/>
              </w:rPr>
            </w:pPr>
            <w:r w:rsidRPr="00593F91">
              <w:t>454.1</w:t>
            </w:r>
          </w:p>
        </w:tc>
        <w:tc>
          <w:tcPr>
            <w:tcW w:w="1170" w:type="dxa"/>
            <w:tcBorders>
              <w:top w:val="nil"/>
              <w:left w:val="nil"/>
              <w:bottom w:val="single" w:sz="4" w:space="0" w:color="auto"/>
              <w:right w:val="single" w:sz="4" w:space="0" w:color="auto"/>
            </w:tcBorders>
            <w:shd w:val="clear" w:color="auto" w:fill="auto"/>
            <w:noWrap/>
            <w:vAlign w:val="center"/>
          </w:tcPr>
          <w:p w14:paraId="61179E3F" w14:textId="6DC065EB" w:rsidR="005F4C8E" w:rsidRPr="00C347BB" w:rsidRDefault="005F4C8E" w:rsidP="008E1F8B">
            <w:pPr>
              <w:spacing w:line="240" w:lineRule="auto"/>
              <w:jc w:val="center"/>
              <w:rPr>
                <w:rFonts w:asciiTheme="majorHAnsi" w:hAnsiTheme="majorHAnsi" w:cstheme="majorHAnsi"/>
                <w:color w:val="000000"/>
                <w:sz w:val="20"/>
                <w:szCs w:val="20"/>
              </w:rPr>
            </w:pPr>
            <w:r w:rsidRPr="00593F91">
              <w:t>682.2</w:t>
            </w:r>
          </w:p>
        </w:tc>
        <w:tc>
          <w:tcPr>
            <w:tcW w:w="1175" w:type="dxa"/>
            <w:tcBorders>
              <w:top w:val="nil"/>
              <w:left w:val="nil"/>
              <w:bottom w:val="single" w:sz="4" w:space="0" w:color="auto"/>
              <w:right w:val="single" w:sz="4" w:space="0" w:color="auto"/>
            </w:tcBorders>
            <w:shd w:val="clear" w:color="auto" w:fill="auto"/>
            <w:noWrap/>
            <w:vAlign w:val="center"/>
          </w:tcPr>
          <w:p w14:paraId="621EC3C1" w14:textId="344ECE49" w:rsidR="005F4C8E" w:rsidRPr="00C347BB" w:rsidRDefault="005F4C8E" w:rsidP="008E1F8B">
            <w:pPr>
              <w:spacing w:line="240" w:lineRule="auto"/>
              <w:jc w:val="center"/>
              <w:rPr>
                <w:rFonts w:asciiTheme="majorHAnsi" w:hAnsiTheme="majorHAnsi" w:cstheme="majorHAnsi"/>
                <w:color w:val="000000"/>
                <w:sz w:val="20"/>
                <w:szCs w:val="20"/>
              </w:rPr>
            </w:pPr>
            <w:r w:rsidRPr="00593F91">
              <w:t>1004.0</w:t>
            </w:r>
          </w:p>
        </w:tc>
      </w:tr>
      <w:tr w:rsidR="005F4C8E" w:rsidRPr="00C347BB" w14:paraId="2EF9E09E"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5E836395" w14:textId="6DD8CDC5" w:rsidR="005F4C8E" w:rsidRPr="00C347BB" w:rsidRDefault="005F4C8E" w:rsidP="008E1F8B">
            <w:pPr>
              <w:spacing w:line="240" w:lineRule="auto"/>
              <w:jc w:val="center"/>
              <w:rPr>
                <w:rFonts w:asciiTheme="majorHAnsi" w:hAnsiTheme="majorHAnsi" w:cstheme="majorHAnsi"/>
                <w:color w:val="000000"/>
                <w:sz w:val="20"/>
                <w:szCs w:val="20"/>
              </w:rPr>
            </w:pPr>
            <w:r w:rsidRPr="00593F91">
              <w:t>20.25%</w:t>
            </w:r>
          </w:p>
        </w:tc>
        <w:tc>
          <w:tcPr>
            <w:tcW w:w="1710" w:type="dxa"/>
            <w:tcBorders>
              <w:top w:val="nil"/>
              <w:left w:val="nil"/>
              <w:bottom w:val="single" w:sz="4" w:space="0" w:color="auto"/>
              <w:right w:val="single" w:sz="4" w:space="0" w:color="auto"/>
            </w:tcBorders>
            <w:shd w:val="clear" w:color="auto" w:fill="auto"/>
            <w:noWrap/>
            <w:vAlign w:val="center"/>
          </w:tcPr>
          <w:p w14:paraId="71904602" w14:textId="7DF534AD" w:rsidR="005F4C8E" w:rsidRPr="00C347BB" w:rsidRDefault="005F4C8E" w:rsidP="008E1F8B">
            <w:pPr>
              <w:spacing w:line="240" w:lineRule="auto"/>
              <w:jc w:val="center"/>
              <w:rPr>
                <w:rFonts w:asciiTheme="majorHAnsi" w:hAnsiTheme="majorHAnsi" w:cstheme="majorHAnsi"/>
                <w:color w:val="000000"/>
                <w:sz w:val="20"/>
                <w:szCs w:val="20"/>
              </w:rPr>
            </w:pPr>
            <w:r w:rsidRPr="00593F91">
              <w:t>5,285.3</w:t>
            </w:r>
          </w:p>
        </w:tc>
        <w:tc>
          <w:tcPr>
            <w:tcW w:w="1260" w:type="dxa"/>
            <w:tcBorders>
              <w:top w:val="nil"/>
              <w:left w:val="nil"/>
              <w:bottom w:val="single" w:sz="4" w:space="0" w:color="auto"/>
              <w:right w:val="single" w:sz="4" w:space="0" w:color="auto"/>
            </w:tcBorders>
            <w:shd w:val="clear" w:color="auto" w:fill="auto"/>
            <w:noWrap/>
            <w:vAlign w:val="center"/>
          </w:tcPr>
          <w:p w14:paraId="46DAB6BC" w14:textId="796D0454" w:rsidR="005F4C8E" w:rsidRPr="00C347BB" w:rsidRDefault="005F4C8E" w:rsidP="008E1F8B">
            <w:pPr>
              <w:spacing w:line="240" w:lineRule="auto"/>
              <w:jc w:val="center"/>
              <w:rPr>
                <w:rFonts w:asciiTheme="majorHAnsi" w:hAnsiTheme="majorHAnsi" w:cstheme="majorHAnsi"/>
                <w:color w:val="000000"/>
                <w:sz w:val="20"/>
                <w:szCs w:val="20"/>
              </w:rPr>
            </w:pPr>
            <w:r w:rsidRPr="00593F91">
              <w:t>342.2</w:t>
            </w:r>
          </w:p>
        </w:tc>
        <w:tc>
          <w:tcPr>
            <w:tcW w:w="1170" w:type="dxa"/>
            <w:tcBorders>
              <w:top w:val="nil"/>
              <w:left w:val="nil"/>
              <w:bottom w:val="single" w:sz="4" w:space="0" w:color="auto"/>
              <w:right w:val="single" w:sz="4" w:space="0" w:color="auto"/>
            </w:tcBorders>
            <w:shd w:val="clear" w:color="auto" w:fill="auto"/>
            <w:noWrap/>
            <w:vAlign w:val="center"/>
          </w:tcPr>
          <w:p w14:paraId="4FA11573" w14:textId="09044C09" w:rsidR="005F4C8E" w:rsidRPr="00C347BB" w:rsidRDefault="005F4C8E" w:rsidP="008E1F8B">
            <w:pPr>
              <w:spacing w:line="240" w:lineRule="auto"/>
              <w:jc w:val="center"/>
              <w:rPr>
                <w:rFonts w:asciiTheme="majorHAnsi" w:hAnsiTheme="majorHAnsi" w:cstheme="majorHAnsi"/>
                <w:color w:val="000000"/>
                <w:sz w:val="20"/>
                <w:szCs w:val="20"/>
              </w:rPr>
            </w:pPr>
            <w:r w:rsidRPr="00593F91">
              <w:t>445.8</w:t>
            </w:r>
          </w:p>
        </w:tc>
        <w:tc>
          <w:tcPr>
            <w:tcW w:w="1170" w:type="dxa"/>
            <w:tcBorders>
              <w:top w:val="nil"/>
              <w:left w:val="nil"/>
              <w:bottom w:val="single" w:sz="4" w:space="0" w:color="auto"/>
              <w:right w:val="single" w:sz="4" w:space="0" w:color="auto"/>
            </w:tcBorders>
            <w:shd w:val="clear" w:color="auto" w:fill="auto"/>
            <w:noWrap/>
            <w:vAlign w:val="center"/>
          </w:tcPr>
          <w:p w14:paraId="71C0BDBB" w14:textId="7B228690" w:rsidR="005F4C8E" w:rsidRPr="00C347BB" w:rsidRDefault="005F4C8E" w:rsidP="008E1F8B">
            <w:pPr>
              <w:spacing w:line="240" w:lineRule="auto"/>
              <w:jc w:val="center"/>
              <w:rPr>
                <w:rFonts w:asciiTheme="majorHAnsi" w:hAnsiTheme="majorHAnsi" w:cstheme="majorHAnsi"/>
                <w:color w:val="000000"/>
                <w:sz w:val="20"/>
                <w:szCs w:val="20"/>
              </w:rPr>
            </w:pPr>
            <w:r w:rsidRPr="00593F91">
              <w:t>662.8</w:t>
            </w:r>
          </w:p>
        </w:tc>
        <w:tc>
          <w:tcPr>
            <w:tcW w:w="1175" w:type="dxa"/>
            <w:tcBorders>
              <w:top w:val="nil"/>
              <w:left w:val="nil"/>
              <w:bottom w:val="single" w:sz="4" w:space="0" w:color="auto"/>
              <w:right w:val="single" w:sz="4" w:space="0" w:color="auto"/>
            </w:tcBorders>
            <w:shd w:val="clear" w:color="auto" w:fill="auto"/>
            <w:noWrap/>
            <w:vAlign w:val="center"/>
          </w:tcPr>
          <w:p w14:paraId="0A3BB0CA" w14:textId="3B8C8C54" w:rsidR="005F4C8E" w:rsidRPr="00C347BB" w:rsidRDefault="005F4C8E" w:rsidP="008E1F8B">
            <w:pPr>
              <w:spacing w:line="240" w:lineRule="auto"/>
              <w:jc w:val="center"/>
              <w:rPr>
                <w:rFonts w:asciiTheme="majorHAnsi" w:hAnsiTheme="majorHAnsi" w:cstheme="majorHAnsi"/>
                <w:color w:val="000000"/>
                <w:sz w:val="20"/>
                <w:szCs w:val="20"/>
              </w:rPr>
            </w:pPr>
            <w:r w:rsidRPr="00593F91">
              <w:t>977.9</w:t>
            </w:r>
          </w:p>
        </w:tc>
      </w:tr>
      <w:tr w:rsidR="005F4C8E" w:rsidRPr="00C347BB" w14:paraId="46A6E2A7"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2BB70D44" w14:textId="2FD9B152" w:rsidR="005F4C8E" w:rsidRPr="00C347BB" w:rsidRDefault="005F4C8E" w:rsidP="008E1F8B">
            <w:pPr>
              <w:spacing w:line="240" w:lineRule="auto"/>
              <w:jc w:val="center"/>
              <w:rPr>
                <w:rFonts w:asciiTheme="majorHAnsi" w:hAnsiTheme="majorHAnsi" w:cstheme="majorHAnsi"/>
                <w:color w:val="000000"/>
                <w:sz w:val="20"/>
                <w:szCs w:val="20"/>
              </w:rPr>
            </w:pPr>
            <w:r w:rsidRPr="00593F91">
              <w:t>20.50%</w:t>
            </w:r>
          </w:p>
        </w:tc>
        <w:tc>
          <w:tcPr>
            <w:tcW w:w="1710" w:type="dxa"/>
            <w:tcBorders>
              <w:top w:val="nil"/>
              <w:left w:val="nil"/>
              <w:bottom w:val="single" w:sz="4" w:space="0" w:color="auto"/>
              <w:right w:val="single" w:sz="4" w:space="0" w:color="auto"/>
            </w:tcBorders>
            <w:shd w:val="clear" w:color="auto" w:fill="auto"/>
            <w:noWrap/>
            <w:vAlign w:val="center"/>
          </w:tcPr>
          <w:p w14:paraId="2884B528" w14:textId="0F101D7D" w:rsidR="005F4C8E" w:rsidRPr="00C347BB" w:rsidRDefault="005F4C8E" w:rsidP="008E1F8B">
            <w:pPr>
              <w:spacing w:line="240" w:lineRule="auto"/>
              <w:jc w:val="center"/>
              <w:rPr>
                <w:rFonts w:asciiTheme="majorHAnsi" w:hAnsiTheme="majorHAnsi" w:cstheme="majorHAnsi"/>
                <w:color w:val="000000"/>
                <w:sz w:val="20"/>
                <w:szCs w:val="20"/>
              </w:rPr>
            </w:pPr>
            <w:r w:rsidRPr="00593F91">
              <w:t>5,277.7</w:t>
            </w:r>
          </w:p>
        </w:tc>
        <w:tc>
          <w:tcPr>
            <w:tcW w:w="1260" w:type="dxa"/>
            <w:tcBorders>
              <w:top w:val="nil"/>
              <w:left w:val="nil"/>
              <w:bottom w:val="single" w:sz="4" w:space="0" w:color="auto"/>
              <w:right w:val="single" w:sz="4" w:space="0" w:color="auto"/>
            </w:tcBorders>
            <w:shd w:val="clear" w:color="auto" w:fill="auto"/>
            <w:noWrap/>
            <w:vAlign w:val="center"/>
          </w:tcPr>
          <w:p w14:paraId="06269601" w14:textId="7A68435E" w:rsidR="005F4C8E" w:rsidRPr="00C347BB" w:rsidRDefault="005F4C8E" w:rsidP="008E1F8B">
            <w:pPr>
              <w:spacing w:line="240" w:lineRule="auto"/>
              <w:jc w:val="center"/>
              <w:rPr>
                <w:rFonts w:asciiTheme="majorHAnsi" w:hAnsiTheme="majorHAnsi" w:cstheme="majorHAnsi"/>
                <w:color w:val="000000"/>
                <w:sz w:val="20"/>
                <w:szCs w:val="20"/>
              </w:rPr>
            </w:pPr>
            <w:r w:rsidRPr="00593F91">
              <w:t>339.2</w:t>
            </w:r>
          </w:p>
        </w:tc>
        <w:tc>
          <w:tcPr>
            <w:tcW w:w="1170" w:type="dxa"/>
            <w:tcBorders>
              <w:top w:val="nil"/>
              <w:left w:val="nil"/>
              <w:bottom w:val="single" w:sz="4" w:space="0" w:color="auto"/>
              <w:right w:val="single" w:sz="4" w:space="0" w:color="auto"/>
            </w:tcBorders>
            <w:shd w:val="clear" w:color="auto" w:fill="auto"/>
            <w:noWrap/>
            <w:vAlign w:val="center"/>
          </w:tcPr>
          <w:p w14:paraId="11554902" w14:textId="7F484D3F" w:rsidR="005F4C8E" w:rsidRPr="00C347BB" w:rsidRDefault="005F4C8E" w:rsidP="008E1F8B">
            <w:pPr>
              <w:spacing w:line="240" w:lineRule="auto"/>
              <w:jc w:val="center"/>
              <w:rPr>
                <w:rFonts w:asciiTheme="majorHAnsi" w:hAnsiTheme="majorHAnsi" w:cstheme="majorHAnsi"/>
                <w:color w:val="000000"/>
                <w:sz w:val="20"/>
                <w:szCs w:val="20"/>
              </w:rPr>
            </w:pPr>
            <w:r w:rsidRPr="00593F91">
              <w:t>437.7</w:t>
            </w:r>
          </w:p>
        </w:tc>
        <w:tc>
          <w:tcPr>
            <w:tcW w:w="1170" w:type="dxa"/>
            <w:tcBorders>
              <w:top w:val="nil"/>
              <w:left w:val="nil"/>
              <w:bottom w:val="single" w:sz="4" w:space="0" w:color="auto"/>
              <w:right w:val="single" w:sz="4" w:space="0" w:color="auto"/>
            </w:tcBorders>
            <w:shd w:val="clear" w:color="auto" w:fill="auto"/>
            <w:noWrap/>
            <w:vAlign w:val="center"/>
          </w:tcPr>
          <w:p w14:paraId="0FDE7E63" w14:textId="08955D62" w:rsidR="005F4C8E" w:rsidRPr="00C347BB" w:rsidRDefault="005F4C8E" w:rsidP="008E1F8B">
            <w:pPr>
              <w:spacing w:line="240" w:lineRule="auto"/>
              <w:jc w:val="center"/>
              <w:rPr>
                <w:rFonts w:asciiTheme="majorHAnsi" w:hAnsiTheme="majorHAnsi" w:cstheme="majorHAnsi"/>
                <w:color w:val="000000"/>
                <w:sz w:val="20"/>
                <w:szCs w:val="20"/>
              </w:rPr>
            </w:pPr>
            <w:r w:rsidRPr="00593F91">
              <w:t>644.6</w:t>
            </w:r>
          </w:p>
        </w:tc>
        <w:tc>
          <w:tcPr>
            <w:tcW w:w="1175" w:type="dxa"/>
            <w:tcBorders>
              <w:top w:val="nil"/>
              <w:left w:val="nil"/>
              <w:bottom w:val="single" w:sz="4" w:space="0" w:color="auto"/>
              <w:right w:val="single" w:sz="4" w:space="0" w:color="auto"/>
            </w:tcBorders>
            <w:shd w:val="clear" w:color="auto" w:fill="auto"/>
            <w:noWrap/>
            <w:vAlign w:val="center"/>
          </w:tcPr>
          <w:p w14:paraId="65A35954" w14:textId="6D8C4B71" w:rsidR="005F4C8E" w:rsidRPr="00C347BB" w:rsidRDefault="005F4C8E" w:rsidP="008E1F8B">
            <w:pPr>
              <w:spacing w:line="240" w:lineRule="auto"/>
              <w:jc w:val="center"/>
              <w:rPr>
                <w:rFonts w:asciiTheme="majorHAnsi" w:hAnsiTheme="majorHAnsi" w:cstheme="majorHAnsi"/>
                <w:color w:val="000000"/>
                <w:sz w:val="20"/>
                <w:szCs w:val="20"/>
              </w:rPr>
            </w:pPr>
            <w:r w:rsidRPr="00593F91">
              <w:t>952.8</w:t>
            </w:r>
          </w:p>
        </w:tc>
      </w:tr>
      <w:tr w:rsidR="005F4C8E" w:rsidRPr="00C347BB" w14:paraId="14EA8B3C"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4B4573A5" w14:textId="6D2ADC81" w:rsidR="005F4C8E" w:rsidRPr="00C347BB" w:rsidRDefault="005F4C8E" w:rsidP="008E1F8B">
            <w:pPr>
              <w:spacing w:line="240" w:lineRule="auto"/>
              <w:jc w:val="center"/>
              <w:rPr>
                <w:rFonts w:asciiTheme="majorHAnsi" w:hAnsiTheme="majorHAnsi" w:cstheme="majorHAnsi"/>
                <w:color w:val="000000"/>
                <w:sz w:val="20"/>
                <w:szCs w:val="20"/>
              </w:rPr>
            </w:pPr>
            <w:r w:rsidRPr="00593F91">
              <w:t>20.75%</w:t>
            </w:r>
          </w:p>
        </w:tc>
        <w:tc>
          <w:tcPr>
            <w:tcW w:w="1710" w:type="dxa"/>
            <w:tcBorders>
              <w:top w:val="nil"/>
              <w:left w:val="nil"/>
              <w:bottom w:val="single" w:sz="4" w:space="0" w:color="auto"/>
              <w:right w:val="single" w:sz="4" w:space="0" w:color="auto"/>
            </w:tcBorders>
            <w:shd w:val="clear" w:color="auto" w:fill="auto"/>
            <w:noWrap/>
            <w:vAlign w:val="center"/>
          </w:tcPr>
          <w:p w14:paraId="42726ABE" w14:textId="0C521E65" w:rsidR="005F4C8E" w:rsidRPr="00C347BB" w:rsidRDefault="005F4C8E" w:rsidP="008E1F8B">
            <w:pPr>
              <w:spacing w:line="240" w:lineRule="auto"/>
              <w:jc w:val="center"/>
              <w:rPr>
                <w:rFonts w:asciiTheme="majorHAnsi" w:hAnsiTheme="majorHAnsi" w:cstheme="majorHAnsi"/>
                <w:color w:val="000000"/>
                <w:sz w:val="20"/>
                <w:szCs w:val="20"/>
              </w:rPr>
            </w:pPr>
            <w:r w:rsidRPr="00593F91">
              <w:t>5,271.2</w:t>
            </w:r>
          </w:p>
        </w:tc>
        <w:tc>
          <w:tcPr>
            <w:tcW w:w="1260" w:type="dxa"/>
            <w:tcBorders>
              <w:top w:val="nil"/>
              <w:left w:val="nil"/>
              <w:bottom w:val="single" w:sz="4" w:space="0" w:color="auto"/>
              <w:right w:val="single" w:sz="4" w:space="0" w:color="auto"/>
            </w:tcBorders>
            <w:shd w:val="clear" w:color="auto" w:fill="auto"/>
            <w:noWrap/>
            <w:vAlign w:val="center"/>
          </w:tcPr>
          <w:p w14:paraId="3A75C0C8" w14:textId="42910671" w:rsidR="005F4C8E" w:rsidRPr="00C347BB" w:rsidRDefault="005F4C8E" w:rsidP="008E1F8B">
            <w:pPr>
              <w:spacing w:line="240" w:lineRule="auto"/>
              <w:jc w:val="center"/>
              <w:rPr>
                <w:rFonts w:asciiTheme="majorHAnsi" w:hAnsiTheme="majorHAnsi" w:cstheme="majorHAnsi"/>
                <w:color w:val="000000"/>
                <w:sz w:val="20"/>
                <w:szCs w:val="20"/>
              </w:rPr>
            </w:pPr>
            <w:r w:rsidRPr="00593F91">
              <w:t>336.1</w:t>
            </w:r>
          </w:p>
        </w:tc>
        <w:tc>
          <w:tcPr>
            <w:tcW w:w="1170" w:type="dxa"/>
            <w:tcBorders>
              <w:top w:val="nil"/>
              <w:left w:val="nil"/>
              <w:bottom w:val="single" w:sz="4" w:space="0" w:color="auto"/>
              <w:right w:val="single" w:sz="4" w:space="0" w:color="auto"/>
            </w:tcBorders>
            <w:shd w:val="clear" w:color="auto" w:fill="auto"/>
            <w:noWrap/>
            <w:vAlign w:val="center"/>
          </w:tcPr>
          <w:p w14:paraId="5271969E" w14:textId="0B594850" w:rsidR="005F4C8E" w:rsidRPr="00C347BB" w:rsidRDefault="005F4C8E" w:rsidP="008E1F8B">
            <w:pPr>
              <w:spacing w:line="240" w:lineRule="auto"/>
              <w:jc w:val="center"/>
              <w:rPr>
                <w:rFonts w:asciiTheme="majorHAnsi" w:hAnsiTheme="majorHAnsi" w:cstheme="majorHAnsi"/>
                <w:color w:val="000000"/>
                <w:sz w:val="20"/>
                <w:szCs w:val="20"/>
              </w:rPr>
            </w:pPr>
            <w:r w:rsidRPr="00593F91">
              <w:t>429.8</w:t>
            </w:r>
          </w:p>
        </w:tc>
        <w:tc>
          <w:tcPr>
            <w:tcW w:w="1170" w:type="dxa"/>
            <w:tcBorders>
              <w:top w:val="nil"/>
              <w:left w:val="nil"/>
              <w:bottom w:val="single" w:sz="4" w:space="0" w:color="auto"/>
              <w:right w:val="single" w:sz="4" w:space="0" w:color="auto"/>
            </w:tcBorders>
            <w:shd w:val="clear" w:color="auto" w:fill="auto"/>
            <w:noWrap/>
            <w:vAlign w:val="center"/>
          </w:tcPr>
          <w:p w14:paraId="6AABFCB1" w14:textId="2B9CF3B9" w:rsidR="005F4C8E" w:rsidRPr="00C347BB" w:rsidRDefault="005F4C8E" w:rsidP="008E1F8B">
            <w:pPr>
              <w:spacing w:line="240" w:lineRule="auto"/>
              <w:jc w:val="center"/>
              <w:rPr>
                <w:rFonts w:asciiTheme="majorHAnsi" w:hAnsiTheme="majorHAnsi" w:cstheme="majorHAnsi"/>
                <w:color w:val="000000"/>
                <w:sz w:val="20"/>
                <w:szCs w:val="20"/>
              </w:rPr>
            </w:pPr>
            <w:r w:rsidRPr="00593F91">
              <w:t>627.5</w:t>
            </w:r>
          </w:p>
        </w:tc>
        <w:tc>
          <w:tcPr>
            <w:tcW w:w="1175" w:type="dxa"/>
            <w:tcBorders>
              <w:top w:val="nil"/>
              <w:left w:val="nil"/>
              <w:bottom w:val="single" w:sz="4" w:space="0" w:color="auto"/>
              <w:right w:val="single" w:sz="4" w:space="0" w:color="auto"/>
            </w:tcBorders>
            <w:shd w:val="clear" w:color="auto" w:fill="auto"/>
            <w:noWrap/>
            <w:vAlign w:val="center"/>
          </w:tcPr>
          <w:p w14:paraId="630A1593" w14:textId="695C8EBC" w:rsidR="005F4C8E" w:rsidRPr="00C347BB" w:rsidRDefault="005F4C8E" w:rsidP="008E1F8B">
            <w:pPr>
              <w:spacing w:line="240" w:lineRule="auto"/>
              <w:jc w:val="center"/>
              <w:rPr>
                <w:rFonts w:asciiTheme="majorHAnsi" w:hAnsiTheme="majorHAnsi" w:cstheme="majorHAnsi"/>
                <w:color w:val="000000"/>
                <w:sz w:val="20"/>
                <w:szCs w:val="20"/>
              </w:rPr>
            </w:pPr>
            <w:r w:rsidRPr="00593F91">
              <w:t>928.5</w:t>
            </w:r>
          </w:p>
        </w:tc>
      </w:tr>
      <w:tr w:rsidR="005F4C8E" w:rsidRPr="00C347BB" w14:paraId="677A1774"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04E15A19" w14:textId="159FFFDD" w:rsidR="005F4C8E" w:rsidRPr="00C347BB" w:rsidRDefault="005F4C8E" w:rsidP="008E1F8B">
            <w:pPr>
              <w:spacing w:line="240" w:lineRule="auto"/>
              <w:jc w:val="center"/>
              <w:rPr>
                <w:rFonts w:asciiTheme="majorHAnsi" w:hAnsiTheme="majorHAnsi" w:cstheme="majorHAnsi"/>
                <w:color w:val="000000"/>
                <w:sz w:val="20"/>
                <w:szCs w:val="20"/>
              </w:rPr>
            </w:pPr>
            <w:r w:rsidRPr="00593F91">
              <w:t>21.00%</w:t>
            </w:r>
          </w:p>
        </w:tc>
        <w:tc>
          <w:tcPr>
            <w:tcW w:w="1710" w:type="dxa"/>
            <w:tcBorders>
              <w:top w:val="nil"/>
              <w:left w:val="nil"/>
              <w:bottom w:val="single" w:sz="4" w:space="0" w:color="auto"/>
              <w:right w:val="single" w:sz="4" w:space="0" w:color="auto"/>
            </w:tcBorders>
            <w:shd w:val="clear" w:color="auto" w:fill="auto"/>
            <w:noWrap/>
            <w:vAlign w:val="center"/>
          </w:tcPr>
          <w:p w14:paraId="544A1FC3" w14:textId="313B6C25" w:rsidR="005F4C8E" w:rsidRPr="00C347BB" w:rsidRDefault="005F4C8E" w:rsidP="008E1F8B">
            <w:pPr>
              <w:spacing w:line="240" w:lineRule="auto"/>
              <w:jc w:val="center"/>
              <w:rPr>
                <w:rFonts w:asciiTheme="majorHAnsi" w:hAnsiTheme="majorHAnsi" w:cstheme="majorHAnsi"/>
                <w:color w:val="000000"/>
                <w:sz w:val="20"/>
                <w:szCs w:val="20"/>
              </w:rPr>
            </w:pPr>
            <w:r w:rsidRPr="00593F91">
              <w:t>5,265.5</w:t>
            </w:r>
          </w:p>
        </w:tc>
        <w:tc>
          <w:tcPr>
            <w:tcW w:w="1260" w:type="dxa"/>
            <w:tcBorders>
              <w:top w:val="nil"/>
              <w:left w:val="nil"/>
              <w:bottom w:val="single" w:sz="4" w:space="0" w:color="auto"/>
              <w:right w:val="single" w:sz="4" w:space="0" w:color="auto"/>
            </w:tcBorders>
            <w:shd w:val="clear" w:color="auto" w:fill="auto"/>
            <w:noWrap/>
            <w:vAlign w:val="center"/>
          </w:tcPr>
          <w:p w14:paraId="3AB15BE6" w14:textId="4686F48F" w:rsidR="005F4C8E" w:rsidRPr="00C347BB" w:rsidRDefault="005F4C8E" w:rsidP="008E1F8B">
            <w:pPr>
              <w:spacing w:line="240" w:lineRule="auto"/>
              <w:jc w:val="center"/>
              <w:rPr>
                <w:rFonts w:asciiTheme="majorHAnsi" w:hAnsiTheme="majorHAnsi" w:cstheme="majorHAnsi"/>
                <w:color w:val="000000"/>
                <w:sz w:val="20"/>
                <w:szCs w:val="20"/>
              </w:rPr>
            </w:pPr>
            <w:r w:rsidRPr="00593F91">
              <w:t>332.9</w:t>
            </w:r>
          </w:p>
        </w:tc>
        <w:tc>
          <w:tcPr>
            <w:tcW w:w="1170" w:type="dxa"/>
            <w:tcBorders>
              <w:top w:val="nil"/>
              <w:left w:val="nil"/>
              <w:bottom w:val="single" w:sz="4" w:space="0" w:color="auto"/>
              <w:right w:val="single" w:sz="4" w:space="0" w:color="auto"/>
            </w:tcBorders>
            <w:shd w:val="clear" w:color="auto" w:fill="auto"/>
            <w:noWrap/>
            <w:vAlign w:val="center"/>
          </w:tcPr>
          <w:p w14:paraId="411F5B26" w14:textId="5B5FE94A" w:rsidR="005F4C8E" w:rsidRPr="00C347BB" w:rsidRDefault="005F4C8E" w:rsidP="008E1F8B">
            <w:pPr>
              <w:spacing w:line="240" w:lineRule="auto"/>
              <w:jc w:val="center"/>
              <w:rPr>
                <w:rFonts w:asciiTheme="majorHAnsi" w:hAnsiTheme="majorHAnsi" w:cstheme="majorHAnsi"/>
                <w:color w:val="000000"/>
                <w:sz w:val="20"/>
                <w:szCs w:val="20"/>
              </w:rPr>
            </w:pPr>
            <w:r w:rsidRPr="00593F91">
              <w:t>422.3</w:t>
            </w:r>
          </w:p>
        </w:tc>
        <w:tc>
          <w:tcPr>
            <w:tcW w:w="1170" w:type="dxa"/>
            <w:tcBorders>
              <w:top w:val="nil"/>
              <w:left w:val="nil"/>
              <w:bottom w:val="single" w:sz="4" w:space="0" w:color="auto"/>
              <w:right w:val="single" w:sz="4" w:space="0" w:color="auto"/>
            </w:tcBorders>
            <w:shd w:val="clear" w:color="auto" w:fill="auto"/>
            <w:noWrap/>
            <w:vAlign w:val="center"/>
          </w:tcPr>
          <w:p w14:paraId="6AF89D6A" w14:textId="651E2841" w:rsidR="005F4C8E" w:rsidRPr="00C347BB" w:rsidRDefault="005F4C8E" w:rsidP="008E1F8B">
            <w:pPr>
              <w:spacing w:line="240" w:lineRule="auto"/>
              <w:jc w:val="center"/>
              <w:rPr>
                <w:rFonts w:asciiTheme="majorHAnsi" w:hAnsiTheme="majorHAnsi" w:cstheme="majorHAnsi"/>
                <w:color w:val="000000"/>
                <w:sz w:val="20"/>
                <w:szCs w:val="20"/>
              </w:rPr>
            </w:pPr>
            <w:r w:rsidRPr="00593F91">
              <w:t>611.6</w:t>
            </w:r>
          </w:p>
        </w:tc>
        <w:tc>
          <w:tcPr>
            <w:tcW w:w="1175" w:type="dxa"/>
            <w:tcBorders>
              <w:top w:val="nil"/>
              <w:left w:val="nil"/>
              <w:bottom w:val="single" w:sz="4" w:space="0" w:color="auto"/>
              <w:right w:val="single" w:sz="4" w:space="0" w:color="auto"/>
            </w:tcBorders>
            <w:shd w:val="clear" w:color="auto" w:fill="auto"/>
            <w:noWrap/>
            <w:vAlign w:val="center"/>
          </w:tcPr>
          <w:p w14:paraId="5EBBD8D4" w14:textId="529575E4" w:rsidR="005F4C8E" w:rsidRPr="00C347BB" w:rsidRDefault="005F4C8E" w:rsidP="008E1F8B">
            <w:pPr>
              <w:spacing w:line="240" w:lineRule="auto"/>
              <w:jc w:val="center"/>
              <w:rPr>
                <w:rFonts w:asciiTheme="majorHAnsi" w:hAnsiTheme="majorHAnsi" w:cstheme="majorHAnsi"/>
                <w:color w:val="000000"/>
                <w:sz w:val="20"/>
                <w:szCs w:val="20"/>
              </w:rPr>
            </w:pPr>
            <w:r w:rsidRPr="00593F91">
              <w:t>905.1</w:t>
            </w:r>
          </w:p>
        </w:tc>
      </w:tr>
      <w:tr w:rsidR="005F4C8E" w:rsidRPr="00C347BB" w14:paraId="1E59FAED"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2A3E83EB" w14:textId="6FE8BEA7" w:rsidR="005F4C8E" w:rsidRPr="00C347BB" w:rsidRDefault="005F4C8E" w:rsidP="008E1F8B">
            <w:pPr>
              <w:spacing w:line="240" w:lineRule="auto"/>
              <w:jc w:val="center"/>
              <w:rPr>
                <w:rFonts w:asciiTheme="majorHAnsi" w:hAnsiTheme="majorHAnsi" w:cstheme="majorHAnsi"/>
                <w:color w:val="000000"/>
                <w:sz w:val="20"/>
                <w:szCs w:val="20"/>
              </w:rPr>
            </w:pPr>
            <w:r w:rsidRPr="00593F91">
              <w:t>21.25%</w:t>
            </w:r>
          </w:p>
        </w:tc>
        <w:tc>
          <w:tcPr>
            <w:tcW w:w="1710" w:type="dxa"/>
            <w:tcBorders>
              <w:top w:val="nil"/>
              <w:left w:val="nil"/>
              <w:bottom w:val="single" w:sz="4" w:space="0" w:color="auto"/>
              <w:right w:val="single" w:sz="4" w:space="0" w:color="auto"/>
            </w:tcBorders>
            <w:shd w:val="clear" w:color="auto" w:fill="auto"/>
            <w:noWrap/>
            <w:vAlign w:val="center"/>
          </w:tcPr>
          <w:p w14:paraId="3B578B70" w14:textId="1DCEF8B3" w:rsidR="005F4C8E" w:rsidRPr="00C347BB" w:rsidRDefault="005F4C8E" w:rsidP="008E1F8B">
            <w:pPr>
              <w:spacing w:line="240" w:lineRule="auto"/>
              <w:jc w:val="center"/>
              <w:rPr>
                <w:rFonts w:asciiTheme="majorHAnsi" w:hAnsiTheme="majorHAnsi" w:cstheme="majorHAnsi"/>
                <w:color w:val="000000"/>
                <w:sz w:val="20"/>
                <w:szCs w:val="20"/>
              </w:rPr>
            </w:pPr>
            <w:r w:rsidRPr="00593F91">
              <w:t>5,260.8</w:t>
            </w:r>
          </w:p>
        </w:tc>
        <w:tc>
          <w:tcPr>
            <w:tcW w:w="1260" w:type="dxa"/>
            <w:tcBorders>
              <w:top w:val="nil"/>
              <w:left w:val="nil"/>
              <w:bottom w:val="single" w:sz="4" w:space="0" w:color="auto"/>
              <w:right w:val="single" w:sz="4" w:space="0" w:color="auto"/>
            </w:tcBorders>
            <w:shd w:val="clear" w:color="auto" w:fill="auto"/>
            <w:noWrap/>
            <w:vAlign w:val="center"/>
          </w:tcPr>
          <w:p w14:paraId="288D22F4" w14:textId="1670C494" w:rsidR="005F4C8E" w:rsidRPr="00C347BB" w:rsidRDefault="005F4C8E" w:rsidP="008E1F8B">
            <w:pPr>
              <w:spacing w:line="240" w:lineRule="auto"/>
              <w:jc w:val="center"/>
              <w:rPr>
                <w:rFonts w:asciiTheme="majorHAnsi" w:hAnsiTheme="majorHAnsi" w:cstheme="majorHAnsi"/>
                <w:color w:val="000000"/>
                <w:sz w:val="20"/>
                <w:szCs w:val="20"/>
              </w:rPr>
            </w:pPr>
            <w:r w:rsidRPr="00593F91">
              <w:t>329.5</w:t>
            </w:r>
          </w:p>
        </w:tc>
        <w:tc>
          <w:tcPr>
            <w:tcW w:w="1170" w:type="dxa"/>
            <w:tcBorders>
              <w:top w:val="nil"/>
              <w:left w:val="nil"/>
              <w:bottom w:val="single" w:sz="4" w:space="0" w:color="auto"/>
              <w:right w:val="single" w:sz="4" w:space="0" w:color="auto"/>
            </w:tcBorders>
            <w:shd w:val="clear" w:color="auto" w:fill="auto"/>
            <w:noWrap/>
            <w:vAlign w:val="center"/>
          </w:tcPr>
          <w:p w14:paraId="4982A742" w14:textId="70095E57" w:rsidR="005F4C8E" w:rsidRPr="00C347BB" w:rsidRDefault="005F4C8E" w:rsidP="008E1F8B">
            <w:pPr>
              <w:spacing w:line="240" w:lineRule="auto"/>
              <w:jc w:val="center"/>
              <w:rPr>
                <w:rFonts w:asciiTheme="majorHAnsi" w:hAnsiTheme="majorHAnsi" w:cstheme="majorHAnsi"/>
                <w:color w:val="000000"/>
                <w:sz w:val="20"/>
                <w:szCs w:val="20"/>
              </w:rPr>
            </w:pPr>
            <w:r w:rsidRPr="00593F91">
              <w:t>415.0</w:t>
            </w:r>
          </w:p>
        </w:tc>
        <w:tc>
          <w:tcPr>
            <w:tcW w:w="1170" w:type="dxa"/>
            <w:tcBorders>
              <w:top w:val="nil"/>
              <w:left w:val="nil"/>
              <w:bottom w:val="single" w:sz="4" w:space="0" w:color="auto"/>
              <w:right w:val="single" w:sz="4" w:space="0" w:color="auto"/>
            </w:tcBorders>
            <w:shd w:val="clear" w:color="auto" w:fill="auto"/>
            <w:noWrap/>
            <w:vAlign w:val="center"/>
          </w:tcPr>
          <w:p w14:paraId="345766CB" w14:textId="515C879E" w:rsidR="005F4C8E" w:rsidRPr="00C347BB" w:rsidRDefault="005F4C8E" w:rsidP="008E1F8B">
            <w:pPr>
              <w:spacing w:line="240" w:lineRule="auto"/>
              <w:jc w:val="center"/>
              <w:rPr>
                <w:rFonts w:asciiTheme="majorHAnsi" w:hAnsiTheme="majorHAnsi" w:cstheme="majorHAnsi"/>
                <w:color w:val="000000"/>
                <w:sz w:val="20"/>
                <w:szCs w:val="20"/>
              </w:rPr>
            </w:pPr>
            <w:r w:rsidRPr="00593F91">
              <w:t>596.6</w:t>
            </w:r>
          </w:p>
        </w:tc>
        <w:tc>
          <w:tcPr>
            <w:tcW w:w="1175" w:type="dxa"/>
            <w:tcBorders>
              <w:top w:val="nil"/>
              <w:left w:val="nil"/>
              <w:bottom w:val="single" w:sz="4" w:space="0" w:color="auto"/>
              <w:right w:val="single" w:sz="4" w:space="0" w:color="auto"/>
            </w:tcBorders>
            <w:shd w:val="clear" w:color="auto" w:fill="auto"/>
            <w:noWrap/>
            <w:vAlign w:val="center"/>
          </w:tcPr>
          <w:p w14:paraId="180F4F18" w14:textId="4E039C57" w:rsidR="005F4C8E" w:rsidRPr="00C347BB" w:rsidRDefault="005F4C8E" w:rsidP="008E1F8B">
            <w:pPr>
              <w:spacing w:line="240" w:lineRule="auto"/>
              <w:jc w:val="center"/>
              <w:rPr>
                <w:rFonts w:asciiTheme="majorHAnsi" w:hAnsiTheme="majorHAnsi" w:cstheme="majorHAnsi"/>
                <w:color w:val="000000"/>
                <w:sz w:val="20"/>
                <w:szCs w:val="20"/>
              </w:rPr>
            </w:pPr>
            <w:r w:rsidRPr="00593F91">
              <w:t>882.6</w:t>
            </w:r>
          </w:p>
        </w:tc>
      </w:tr>
      <w:tr w:rsidR="005F4C8E" w:rsidRPr="00C347BB" w14:paraId="2E856B70"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6881E4CE" w14:textId="1ABA3445" w:rsidR="005F4C8E" w:rsidRPr="00C347BB" w:rsidRDefault="005F4C8E" w:rsidP="008E1F8B">
            <w:pPr>
              <w:spacing w:line="240" w:lineRule="auto"/>
              <w:jc w:val="center"/>
              <w:rPr>
                <w:rFonts w:asciiTheme="majorHAnsi" w:hAnsiTheme="majorHAnsi" w:cstheme="majorHAnsi"/>
                <w:color w:val="000000"/>
                <w:sz w:val="20"/>
                <w:szCs w:val="20"/>
              </w:rPr>
            </w:pPr>
            <w:r w:rsidRPr="00593F91">
              <w:t>21.50%</w:t>
            </w:r>
          </w:p>
        </w:tc>
        <w:tc>
          <w:tcPr>
            <w:tcW w:w="1710" w:type="dxa"/>
            <w:tcBorders>
              <w:top w:val="nil"/>
              <w:left w:val="nil"/>
              <w:bottom w:val="single" w:sz="4" w:space="0" w:color="auto"/>
              <w:right w:val="single" w:sz="4" w:space="0" w:color="auto"/>
            </w:tcBorders>
            <w:shd w:val="clear" w:color="auto" w:fill="auto"/>
            <w:noWrap/>
            <w:vAlign w:val="center"/>
          </w:tcPr>
          <w:p w14:paraId="5A339477" w14:textId="3E37EAC6" w:rsidR="005F4C8E" w:rsidRPr="00C347BB" w:rsidRDefault="005F4C8E" w:rsidP="008E1F8B">
            <w:pPr>
              <w:spacing w:line="240" w:lineRule="auto"/>
              <w:jc w:val="center"/>
              <w:rPr>
                <w:rFonts w:asciiTheme="majorHAnsi" w:hAnsiTheme="majorHAnsi" w:cstheme="majorHAnsi"/>
                <w:color w:val="000000"/>
                <w:sz w:val="20"/>
                <w:szCs w:val="20"/>
              </w:rPr>
            </w:pPr>
            <w:r w:rsidRPr="00593F91">
              <w:t>5,256.9</w:t>
            </w:r>
          </w:p>
        </w:tc>
        <w:tc>
          <w:tcPr>
            <w:tcW w:w="1260" w:type="dxa"/>
            <w:tcBorders>
              <w:top w:val="nil"/>
              <w:left w:val="nil"/>
              <w:bottom w:val="single" w:sz="4" w:space="0" w:color="auto"/>
              <w:right w:val="single" w:sz="4" w:space="0" w:color="auto"/>
            </w:tcBorders>
            <w:shd w:val="clear" w:color="auto" w:fill="auto"/>
            <w:noWrap/>
            <w:vAlign w:val="center"/>
          </w:tcPr>
          <w:p w14:paraId="07D38D13" w14:textId="02901065" w:rsidR="005F4C8E" w:rsidRPr="00C347BB" w:rsidRDefault="005F4C8E" w:rsidP="008E1F8B">
            <w:pPr>
              <w:spacing w:line="240" w:lineRule="auto"/>
              <w:jc w:val="center"/>
              <w:rPr>
                <w:rFonts w:asciiTheme="majorHAnsi" w:hAnsiTheme="majorHAnsi" w:cstheme="majorHAnsi"/>
                <w:color w:val="000000"/>
                <w:sz w:val="20"/>
                <w:szCs w:val="20"/>
              </w:rPr>
            </w:pPr>
            <w:r w:rsidRPr="00593F91">
              <w:t>326.0</w:t>
            </w:r>
          </w:p>
        </w:tc>
        <w:tc>
          <w:tcPr>
            <w:tcW w:w="1170" w:type="dxa"/>
            <w:tcBorders>
              <w:top w:val="nil"/>
              <w:left w:val="nil"/>
              <w:bottom w:val="single" w:sz="4" w:space="0" w:color="auto"/>
              <w:right w:val="single" w:sz="4" w:space="0" w:color="auto"/>
            </w:tcBorders>
            <w:shd w:val="clear" w:color="auto" w:fill="auto"/>
            <w:noWrap/>
            <w:vAlign w:val="center"/>
          </w:tcPr>
          <w:p w14:paraId="59D7BE55" w14:textId="63E57F9C" w:rsidR="005F4C8E" w:rsidRPr="00C347BB" w:rsidRDefault="005F4C8E" w:rsidP="008E1F8B">
            <w:pPr>
              <w:spacing w:line="240" w:lineRule="auto"/>
              <w:jc w:val="center"/>
              <w:rPr>
                <w:rFonts w:asciiTheme="majorHAnsi" w:hAnsiTheme="majorHAnsi" w:cstheme="majorHAnsi"/>
                <w:color w:val="000000"/>
                <w:sz w:val="20"/>
                <w:szCs w:val="20"/>
              </w:rPr>
            </w:pPr>
            <w:r w:rsidRPr="00593F91">
              <w:t>408.0</w:t>
            </w:r>
          </w:p>
        </w:tc>
        <w:tc>
          <w:tcPr>
            <w:tcW w:w="1170" w:type="dxa"/>
            <w:tcBorders>
              <w:top w:val="nil"/>
              <w:left w:val="nil"/>
              <w:bottom w:val="single" w:sz="4" w:space="0" w:color="auto"/>
              <w:right w:val="single" w:sz="4" w:space="0" w:color="auto"/>
            </w:tcBorders>
            <w:shd w:val="clear" w:color="auto" w:fill="auto"/>
            <w:noWrap/>
            <w:vAlign w:val="center"/>
          </w:tcPr>
          <w:p w14:paraId="44ADB811" w14:textId="7AB32FE6" w:rsidR="005F4C8E" w:rsidRPr="00C347BB" w:rsidRDefault="005F4C8E" w:rsidP="008E1F8B">
            <w:pPr>
              <w:spacing w:line="240" w:lineRule="auto"/>
              <w:jc w:val="center"/>
              <w:rPr>
                <w:rFonts w:asciiTheme="majorHAnsi" w:hAnsiTheme="majorHAnsi" w:cstheme="majorHAnsi"/>
                <w:color w:val="000000"/>
                <w:sz w:val="20"/>
                <w:szCs w:val="20"/>
              </w:rPr>
            </w:pPr>
            <w:r w:rsidRPr="00593F91">
              <w:t>582.7</w:t>
            </w:r>
          </w:p>
        </w:tc>
        <w:tc>
          <w:tcPr>
            <w:tcW w:w="1175" w:type="dxa"/>
            <w:tcBorders>
              <w:top w:val="nil"/>
              <w:left w:val="nil"/>
              <w:bottom w:val="single" w:sz="4" w:space="0" w:color="auto"/>
              <w:right w:val="single" w:sz="4" w:space="0" w:color="auto"/>
            </w:tcBorders>
            <w:shd w:val="clear" w:color="auto" w:fill="auto"/>
            <w:noWrap/>
            <w:vAlign w:val="center"/>
          </w:tcPr>
          <w:p w14:paraId="577B414F" w14:textId="3949BCA7" w:rsidR="005F4C8E" w:rsidRPr="00C347BB" w:rsidRDefault="005F4C8E" w:rsidP="008E1F8B">
            <w:pPr>
              <w:spacing w:line="240" w:lineRule="auto"/>
              <w:jc w:val="center"/>
              <w:rPr>
                <w:rFonts w:asciiTheme="majorHAnsi" w:hAnsiTheme="majorHAnsi" w:cstheme="majorHAnsi"/>
                <w:color w:val="000000"/>
                <w:sz w:val="20"/>
                <w:szCs w:val="20"/>
              </w:rPr>
            </w:pPr>
            <w:r w:rsidRPr="00593F91">
              <w:t>861.1</w:t>
            </w:r>
          </w:p>
        </w:tc>
      </w:tr>
      <w:tr w:rsidR="005F4C8E" w:rsidRPr="00C347BB" w14:paraId="5277ADE1"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7D73005D" w14:textId="47181A49" w:rsidR="005F4C8E" w:rsidRPr="00C347BB" w:rsidRDefault="005F4C8E" w:rsidP="008E1F8B">
            <w:pPr>
              <w:spacing w:line="240" w:lineRule="auto"/>
              <w:jc w:val="center"/>
              <w:rPr>
                <w:rFonts w:asciiTheme="majorHAnsi" w:hAnsiTheme="majorHAnsi" w:cstheme="majorHAnsi"/>
                <w:color w:val="000000"/>
                <w:sz w:val="20"/>
                <w:szCs w:val="20"/>
              </w:rPr>
            </w:pPr>
            <w:r w:rsidRPr="00593F91">
              <w:t>21.75%</w:t>
            </w:r>
          </w:p>
        </w:tc>
        <w:tc>
          <w:tcPr>
            <w:tcW w:w="1710" w:type="dxa"/>
            <w:tcBorders>
              <w:top w:val="nil"/>
              <w:left w:val="nil"/>
              <w:bottom w:val="single" w:sz="4" w:space="0" w:color="auto"/>
              <w:right w:val="single" w:sz="4" w:space="0" w:color="auto"/>
            </w:tcBorders>
            <w:shd w:val="clear" w:color="auto" w:fill="auto"/>
            <w:noWrap/>
            <w:vAlign w:val="center"/>
          </w:tcPr>
          <w:p w14:paraId="3FE1FC93" w14:textId="65D21D6D" w:rsidR="005F4C8E" w:rsidRPr="00C347BB" w:rsidRDefault="005F4C8E" w:rsidP="008E1F8B">
            <w:pPr>
              <w:spacing w:line="240" w:lineRule="auto"/>
              <w:jc w:val="center"/>
              <w:rPr>
                <w:rFonts w:asciiTheme="majorHAnsi" w:hAnsiTheme="majorHAnsi" w:cstheme="majorHAnsi"/>
                <w:color w:val="000000"/>
                <w:sz w:val="20"/>
                <w:szCs w:val="20"/>
              </w:rPr>
            </w:pPr>
            <w:r w:rsidRPr="00593F91">
              <w:t>5,253.9</w:t>
            </w:r>
          </w:p>
        </w:tc>
        <w:tc>
          <w:tcPr>
            <w:tcW w:w="1260" w:type="dxa"/>
            <w:tcBorders>
              <w:top w:val="nil"/>
              <w:left w:val="nil"/>
              <w:bottom w:val="single" w:sz="4" w:space="0" w:color="auto"/>
              <w:right w:val="single" w:sz="4" w:space="0" w:color="auto"/>
            </w:tcBorders>
            <w:shd w:val="clear" w:color="auto" w:fill="auto"/>
            <w:noWrap/>
            <w:vAlign w:val="center"/>
          </w:tcPr>
          <w:p w14:paraId="5BA378EE" w14:textId="01214F30" w:rsidR="005F4C8E" w:rsidRPr="00C347BB" w:rsidRDefault="005F4C8E" w:rsidP="008E1F8B">
            <w:pPr>
              <w:spacing w:line="240" w:lineRule="auto"/>
              <w:jc w:val="center"/>
              <w:rPr>
                <w:rFonts w:asciiTheme="majorHAnsi" w:hAnsiTheme="majorHAnsi" w:cstheme="majorHAnsi"/>
                <w:color w:val="000000"/>
                <w:sz w:val="20"/>
                <w:szCs w:val="20"/>
              </w:rPr>
            </w:pPr>
            <w:r w:rsidRPr="00593F91">
              <w:t>322.5</w:t>
            </w:r>
          </w:p>
        </w:tc>
        <w:tc>
          <w:tcPr>
            <w:tcW w:w="1170" w:type="dxa"/>
            <w:tcBorders>
              <w:top w:val="nil"/>
              <w:left w:val="nil"/>
              <w:bottom w:val="single" w:sz="4" w:space="0" w:color="auto"/>
              <w:right w:val="single" w:sz="4" w:space="0" w:color="auto"/>
            </w:tcBorders>
            <w:shd w:val="clear" w:color="auto" w:fill="auto"/>
            <w:noWrap/>
            <w:vAlign w:val="center"/>
          </w:tcPr>
          <w:p w14:paraId="29632106" w14:textId="3FF88C93" w:rsidR="005F4C8E" w:rsidRPr="00C347BB" w:rsidRDefault="005F4C8E" w:rsidP="008E1F8B">
            <w:pPr>
              <w:spacing w:line="240" w:lineRule="auto"/>
              <w:jc w:val="center"/>
              <w:rPr>
                <w:rFonts w:asciiTheme="majorHAnsi" w:hAnsiTheme="majorHAnsi" w:cstheme="majorHAnsi"/>
                <w:color w:val="000000"/>
                <w:sz w:val="20"/>
                <w:szCs w:val="20"/>
              </w:rPr>
            </w:pPr>
            <w:r w:rsidRPr="00593F91">
              <w:t>401.4</w:t>
            </w:r>
          </w:p>
        </w:tc>
        <w:tc>
          <w:tcPr>
            <w:tcW w:w="1170" w:type="dxa"/>
            <w:tcBorders>
              <w:top w:val="nil"/>
              <w:left w:val="nil"/>
              <w:bottom w:val="single" w:sz="4" w:space="0" w:color="auto"/>
              <w:right w:val="single" w:sz="4" w:space="0" w:color="auto"/>
            </w:tcBorders>
            <w:shd w:val="clear" w:color="auto" w:fill="auto"/>
            <w:noWrap/>
            <w:vAlign w:val="center"/>
          </w:tcPr>
          <w:p w14:paraId="5AF69F7F" w14:textId="5386EFBA" w:rsidR="005F4C8E" w:rsidRPr="00C347BB" w:rsidRDefault="005F4C8E" w:rsidP="008E1F8B">
            <w:pPr>
              <w:spacing w:line="240" w:lineRule="auto"/>
              <w:jc w:val="center"/>
              <w:rPr>
                <w:rFonts w:asciiTheme="majorHAnsi" w:hAnsiTheme="majorHAnsi" w:cstheme="majorHAnsi"/>
                <w:color w:val="000000"/>
                <w:sz w:val="20"/>
                <w:szCs w:val="20"/>
              </w:rPr>
            </w:pPr>
            <w:r w:rsidRPr="00593F91">
              <w:t>569.7</w:t>
            </w:r>
          </w:p>
        </w:tc>
        <w:tc>
          <w:tcPr>
            <w:tcW w:w="1175" w:type="dxa"/>
            <w:tcBorders>
              <w:top w:val="nil"/>
              <w:left w:val="nil"/>
              <w:bottom w:val="single" w:sz="4" w:space="0" w:color="auto"/>
              <w:right w:val="single" w:sz="4" w:space="0" w:color="auto"/>
            </w:tcBorders>
            <w:shd w:val="clear" w:color="auto" w:fill="auto"/>
            <w:noWrap/>
            <w:vAlign w:val="center"/>
          </w:tcPr>
          <w:p w14:paraId="4251AD71" w14:textId="09A85F79" w:rsidR="005F4C8E" w:rsidRPr="00C347BB" w:rsidRDefault="005F4C8E" w:rsidP="008E1F8B">
            <w:pPr>
              <w:spacing w:line="240" w:lineRule="auto"/>
              <w:jc w:val="center"/>
              <w:rPr>
                <w:rFonts w:asciiTheme="majorHAnsi" w:hAnsiTheme="majorHAnsi" w:cstheme="majorHAnsi"/>
                <w:color w:val="000000"/>
                <w:sz w:val="20"/>
                <w:szCs w:val="20"/>
              </w:rPr>
            </w:pPr>
            <w:r w:rsidRPr="00593F91">
              <w:t>840.4</w:t>
            </w:r>
          </w:p>
        </w:tc>
      </w:tr>
      <w:tr w:rsidR="005F4C8E" w:rsidRPr="00C347BB" w14:paraId="047E365C"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0918FBEB" w14:textId="4F8ED19D" w:rsidR="005F4C8E" w:rsidRPr="00C347BB" w:rsidRDefault="005F4C8E" w:rsidP="008E1F8B">
            <w:pPr>
              <w:spacing w:line="240" w:lineRule="auto"/>
              <w:jc w:val="center"/>
              <w:rPr>
                <w:rFonts w:asciiTheme="majorHAnsi" w:hAnsiTheme="majorHAnsi" w:cstheme="majorHAnsi"/>
                <w:color w:val="000000"/>
                <w:sz w:val="20"/>
                <w:szCs w:val="20"/>
              </w:rPr>
            </w:pPr>
            <w:r w:rsidRPr="00593F91">
              <w:t>22.00%</w:t>
            </w:r>
          </w:p>
        </w:tc>
        <w:tc>
          <w:tcPr>
            <w:tcW w:w="1710" w:type="dxa"/>
            <w:tcBorders>
              <w:top w:val="nil"/>
              <w:left w:val="nil"/>
              <w:bottom w:val="single" w:sz="4" w:space="0" w:color="auto"/>
              <w:right w:val="single" w:sz="4" w:space="0" w:color="auto"/>
            </w:tcBorders>
            <w:shd w:val="clear" w:color="auto" w:fill="auto"/>
            <w:noWrap/>
            <w:vAlign w:val="center"/>
          </w:tcPr>
          <w:p w14:paraId="1E8514AE" w14:textId="4F688CF1" w:rsidR="005F4C8E" w:rsidRPr="00C347BB" w:rsidRDefault="005F4C8E" w:rsidP="008E1F8B">
            <w:pPr>
              <w:spacing w:line="240" w:lineRule="auto"/>
              <w:jc w:val="center"/>
              <w:rPr>
                <w:rFonts w:asciiTheme="majorHAnsi" w:hAnsiTheme="majorHAnsi" w:cstheme="majorHAnsi"/>
                <w:color w:val="000000"/>
                <w:sz w:val="20"/>
                <w:szCs w:val="20"/>
              </w:rPr>
            </w:pPr>
            <w:r w:rsidRPr="00593F91">
              <w:t>5,251.6</w:t>
            </w:r>
          </w:p>
        </w:tc>
        <w:tc>
          <w:tcPr>
            <w:tcW w:w="1260" w:type="dxa"/>
            <w:tcBorders>
              <w:top w:val="nil"/>
              <w:left w:val="nil"/>
              <w:bottom w:val="single" w:sz="4" w:space="0" w:color="auto"/>
              <w:right w:val="single" w:sz="4" w:space="0" w:color="auto"/>
            </w:tcBorders>
            <w:shd w:val="clear" w:color="auto" w:fill="auto"/>
            <w:noWrap/>
            <w:vAlign w:val="center"/>
          </w:tcPr>
          <w:p w14:paraId="7277146D" w14:textId="3CCDB754" w:rsidR="005F4C8E" w:rsidRPr="00C347BB" w:rsidRDefault="005F4C8E" w:rsidP="008E1F8B">
            <w:pPr>
              <w:spacing w:line="240" w:lineRule="auto"/>
              <w:jc w:val="center"/>
              <w:rPr>
                <w:rFonts w:asciiTheme="majorHAnsi" w:hAnsiTheme="majorHAnsi" w:cstheme="majorHAnsi"/>
                <w:color w:val="000000"/>
                <w:sz w:val="20"/>
                <w:szCs w:val="20"/>
              </w:rPr>
            </w:pPr>
            <w:r w:rsidRPr="00593F91">
              <w:t>318.9</w:t>
            </w:r>
          </w:p>
        </w:tc>
        <w:tc>
          <w:tcPr>
            <w:tcW w:w="1170" w:type="dxa"/>
            <w:tcBorders>
              <w:top w:val="nil"/>
              <w:left w:val="nil"/>
              <w:bottom w:val="single" w:sz="4" w:space="0" w:color="auto"/>
              <w:right w:val="single" w:sz="4" w:space="0" w:color="auto"/>
            </w:tcBorders>
            <w:shd w:val="clear" w:color="auto" w:fill="auto"/>
            <w:noWrap/>
            <w:vAlign w:val="center"/>
          </w:tcPr>
          <w:p w14:paraId="5D5782CC" w14:textId="105E7BD4" w:rsidR="005F4C8E" w:rsidRPr="00C347BB" w:rsidRDefault="005F4C8E" w:rsidP="008E1F8B">
            <w:pPr>
              <w:spacing w:line="240" w:lineRule="auto"/>
              <w:jc w:val="center"/>
              <w:rPr>
                <w:rFonts w:asciiTheme="majorHAnsi" w:hAnsiTheme="majorHAnsi" w:cstheme="majorHAnsi"/>
                <w:color w:val="000000"/>
                <w:sz w:val="20"/>
                <w:szCs w:val="20"/>
              </w:rPr>
            </w:pPr>
            <w:r w:rsidRPr="00593F91">
              <w:t>395.1</w:t>
            </w:r>
          </w:p>
        </w:tc>
        <w:tc>
          <w:tcPr>
            <w:tcW w:w="1170" w:type="dxa"/>
            <w:tcBorders>
              <w:top w:val="nil"/>
              <w:left w:val="nil"/>
              <w:bottom w:val="single" w:sz="4" w:space="0" w:color="auto"/>
              <w:right w:val="single" w:sz="4" w:space="0" w:color="auto"/>
            </w:tcBorders>
            <w:shd w:val="clear" w:color="auto" w:fill="auto"/>
            <w:noWrap/>
            <w:vAlign w:val="center"/>
          </w:tcPr>
          <w:p w14:paraId="0141A6DA" w14:textId="744E5BDB" w:rsidR="005F4C8E" w:rsidRPr="00C347BB" w:rsidRDefault="005F4C8E" w:rsidP="008E1F8B">
            <w:pPr>
              <w:spacing w:line="240" w:lineRule="auto"/>
              <w:jc w:val="center"/>
              <w:rPr>
                <w:rFonts w:asciiTheme="majorHAnsi" w:hAnsiTheme="majorHAnsi" w:cstheme="majorHAnsi"/>
                <w:color w:val="000000"/>
                <w:sz w:val="20"/>
                <w:szCs w:val="20"/>
              </w:rPr>
            </w:pPr>
            <w:r w:rsidRPr="00593F91">
              <w:t>557.6</w:t>
            </w:r>
          </w:p>
        </w:tc>
        <w:tc>
          <w:tcPr>
            <w:tcW w:w="1175" w:type="dxa"/>
            <w:tcBorders>
              <w:top w:val="nil"/>
              <w:left w:val="nil"/>
              <w:bottom w:val="single" w:sz="4" w:space="0" w:color="auto"/>
              <w:right w:val="single" w:sz="4" w:space="0" w:color="auto"/>
            </w:tcBorders>
            <w:shd w:val="clear" w:color="auto" w:fill="auto"/>
            <w:noWrap/>
            <w:vAlign w:val="center"/>
          </w:tcPr>
          <w:p w14:paraId="4EAAAB66" w14:textId="569DB531" w:rsidR="005F4C8E" w:rsidRPr="00C347BB" w:rsidRDefault="005F4C8E" w:rsidP="008E1F8B">
            <w:pPr>
              <w:spacing w:line="240" w:lineRule="auto"/>
              <w:jc w:val="center"/>
              <w:rPr>
                <w:rFonts w:asciiTheme="majorHAnsi" w:hAnsiTheme="majorHAnsi" w:cstheme="majorHAnsi"/>
                <w:color w:val="000000"/>
                <w:sz w:val="20"/>
                <w:szCs w:val="20"/>
              </w:rPr>
            </w:pPr>
            <w:r w:rsidRPr="00593F91">
              <w:t>820.6</w:t>
            </w:r>
          </w:p>
        </w:tc>
      </w:tr>
      <w:tr w:rsidR="005F4C8E" w:rsidRPr="00C347BB" w14:paraId="361A11AA"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78F81F3E" w14:textId="6C18908A" w:rsidR="005F4C8E" w:rsidRPr="00C347BB" w:rsidRDefault="005F4C8E" w:rsidP="008E1F8B">
            <w:pPr>
              <w:spacing w:line="240" w:lineRule="auto"/>
              <w:jc w:val="center"/>
              <w:rPr>
                <w:rFonts w:asciiTheme="majorHAnsi" w:hAnsiTheme="majorHAnsi" w:cstheme="majorHAnsi"/>
                <w:color w:val="000000"/>
                <w:sz w:val="20"/>
                <w:szCs w:val="20"/>
              </w:rPr>
            </w:pPr>
            <w:r w:rsidRPr="00593F91">
              <w:t>22.25%</w:t>
            </w:r>
          </w:p>
        </w:tc>
        <w:tc>
          <w:tcPr>
            <w:tcW w:w="1710" w:type="dxa"/>
            <w:tcBorders>
              <w:top w:val="nil"/>
              <w:left w:val="nil"/>
              <w:bottom w:val="single" w:sz="4" w:space="0" w:color="auto"/>
              <w:right w:val="single" w:sz="4" w:space="0" w:color="auto"/>
            </w:tcBorders>
            <w:shd w:val="clear" w:color="auto" w:fill="auto"/>
            <w:noWrap/>
            <w:vAlign w:val="center"/>
          </w:tcPr>
          <w:p w14:paraId="61D373B9" w14:textId="6024D8E7" w:rsidR="005F4C8E" w:rsidRPr="00C347BB" w:rsidRDefault="005F4C8E" w:rsidP="008E1F8B">
            <w:pPr>
              <w:spacing w:line="240" w:lineRule="auto"/>
              <w:jc w:val="center"/>
              <w:rPr>
                <w:rFonts w:asciiTheme="majorHAnsi" w:hAnsiTheme="majorHAnsi" w:cstheme="majorHAnsi"/>
                <w:color w:val="000000"/>
                <w:sz w:val="20"/>
                <w:szCs w:val="20"/>
              </w:rPr>
            </w:pPr>
            <w:r w:rsidRPr="00593F91">
              <w:t>5,250.1</w:t>
            </w:r>
          </w:p>
        </w:tc>
        <w:tc>
          <w:tcPr>
            <w:tcW w:w="1260" w:type="dxa"/>
            <w:tcBorders>
              <w:top w:val="nil"/>
              <w:left w:val="nil"/>
              <w:bottom w:val="single" w:sz="4" w:space="0" w:color="auto"/>
              <w:right w:val="single" w:sz="4" w:space="0" w:color="auto"/>
            </w:tcBorders>
            <w:shd w:val="clear" w:color="auto" w:fill="auto"/>
            <w:noWrap/>
            <w:vAlign w:val="center"/>
          </w:tcPr>
          <w:p w14:paraId="080B771F" w14:textId="611B6444" w:rsidR="005F4C8E" w:rsidRPr="00C347BB" w:rsidRDefault="005F4C8E" w:rsidP="008E1F8B">
            <w:pPr>
              <w:spacing w:line="240" w:lineRule="auto"/>
              <w:jc w:val="center"/>
              <w:rPr>
                <w:rFonts w:asciiTheme="majorHAnsi" w:hAnsiTheme="majorHAnsi" w:cstheme="majorHAnsi"/>
                <w:color w:val="000000"/>
                <w:sz w:val="20"/>
                <w:szCs w:val="20"/>
              </w:rPr>
            </w:pPr>
            <w:r w:rsidRPr="00593F91">
              <w:t>315.2</w:t>
            </w:r>
          </w:p>
        </w:tc>
        <w:tc>
          <w:tcPr>
            <w:tcW w:w="1170" w:type="dxa"/>
            <w:tcBorders>
              <w:top w:val="nil"/>
              <w:left w:val="nil"/>
              <w:bottom w:val="single" w:sz="4" w:space="0" w:color="auto"/>
              <w:right w:val="single" w:sz="4" w:space="0" w:color="auto"/>
            </w:tcBorders>
            <w:shd w:val="clear" w:color="auto" w:fill="auto"/>
            <w:noWrap/>
            <w:vAlign w:val="center"/>
          </w:tcPr>
          <w:p w14:paraId="3AE59DDA" w14:textId="72D4C6FF" w:rsidR="005F4C8E" w:rsidRPr="00C347BB" w:rsidRDefault="005F4C8E" w:rsidP="008E1F8B">
            <w:pPr>
              <w:spacing w:line="240" w:lineRule="auto"/>
              <w:jc w:val="center"/>
              <w:rPr>
                <w:rFonts w:asciiTheme="majorHAnsi" w:hAnsiTheme="majorHAnsi" w:cstheme="majorHAnsi"/>
                <w:color w:val="000000"/>
                <w:sz w:val="20"/>
                <w:szCs w:val="20"/>
              </w:rPr>
            </w:pPr>
            <w:r w:rsidRPr="00593F91">
              <w:t>389.1</w:t>
            </w:r>
          </w:p>
        </w:tc>
        <w:tc>
          <w:tcPr>
            <w:tcW w:w="1170" w:type="dxa"/>
            <w:tcBorders>
              <w:top w:val="nil"/>
              <w:left w:val="nil"/>
              <w:bottom w:val="single" w:sz="4" w:space="0" w:color="auto"/>
              <w:right w:val="single" w:sz="4" w:space="0" w:color="auto"/>
            </w:tcBorders>
            <w:shd w:val="clear" w:color="auto" w:fill="auto"/>
            <w:noWrap/>
            <w:vAlign w:val="center"/>
          </w:tcPr>
          <w:p w14:paraId="15E599E0" w14:textId="0B7CF24F" w:rsidR="005F4C8E" w:rsidRPr="00C347BB" w:rsidRDefault="005F4C8E" w:rsidP="008E1F8B">
            <w:pPr>
              <w:spacing w:line="240" w:lineRule="auto"/>
              <w:jc w:val="center"/>
              <w:rPr>
                <w:rFonts w:asciiTheme="majorHAnsi" w:hAnsiTheme="majorHAnsi" w:cstheme="majorHAnsi"/>
                <w:color w:val="000000"/>
                <w:sz w:val="20"/>
                <w:szCs w:val="20"/>
              </w:rPr>
            </w:pPr>
            <w:r w:rsidRPr="00593F91">
              <w:t>546.3</w:t>
            </w:r>
          </w:p>
        </w:tc>
        <w:tc>
          <w:tcPr>
            <w:tcW w:w="1175" w:type="dxa"/>
            <w:tcBorders>
              <w:top w:val="nil"/>
              <w:left w:val="nil"/>
              <w:bottom w:val="single" w:sz="4" w:space="0" w:color="auto"/>
              <w:right w:val="single" w:sz="4" w:space="0" w:color="auto"/>
            </w:tcBorders>
            <w:shd w:val="clear" w:color="auto" w:fill="auto"/>
            <w:noWrap/>
            <w:vAlign w:val="center"/>
          </w:tcPr>
          <w:p w14:paraId="244CEC83" w14:textId="686BDD75" w:rsidR="005F4C8E" w:rsidRPr="00C347BB" w:rsidRDefault="005F4C8E" w:rsidP="008E1F8B">
            <w:pPr>
              <w:spacing w:line="240" w:lineRule="auto"/>
              <w:jc w:val="center"/>
              <w:rPr>
                <w:rFonts w:asciiTheme="majorHAnsi" w:hAnsiTheme="majorHAnsi" w:cstheme="majorHAnsi"/>
                <w:color w:val="000000"/>
                <w:sz w:val="20"/>
                <w:szCs w:val="20"/>
              </w:rPr>
            </w:pPr>
            <w:r w:rsidRPr="00593F91">
              <w:t>801.7</w:t>
            </w:r>
          </w:p>
        </w:tc>
      </w:tr>
      <w:tr w:rsidR="005F4C8E" w:rsidRPr="00C347BB" w14:paraId="6F553A2F"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212489D1" w14:textId="7E4EC9AC" w:rsidR="005F4C8E" w:rsidRPr="00C347BB" w:rsidRDefault="005F4C8E" w:rsidP="008E1F8B">
            <w:pPr>
              <w:spacing w:line="240" w:lineRule="auto"/>
              <w:jc w:val="center"/>
              <w:rPr>
                <w:rFonts w:asciiTheme="majorHAnsi" w:hAnsiTheme="majorHAnsi" w:cstheme="majorHAnsi"/>
                <w:color w:val="000000"/>
                <w:sz w:val="20"/>
                <w:szCs w:val="20"/>
              </w:rPr>
            </w:pPr>
            <w:r w:rsidRPr="00593F91">
              <w:t>22.50%</w:t>
            </w:r>
          </w:p>
        </w:tc>
        <w:tc>
          <w:tcPr>
            <w:tcW w:w="1710" w:type="dxa"/>
            <w:tcBorders>
              <w:top w:val="nil"/>
              <w:left w:val="nil"/>
              <w:bottom w:val="single" w:sz="4" w:space="0" w:color="auto"/>
              <w:right w:val="single" w:sz="4" w:space="0" w:color="auto"/>
            </w:tcBorders>
            <w:shd w:val="clear" w:color="auto" w:fill="auto"/>
            <w:noWrap/>
            <w:vAlign w:val="center"/>
          </w:tcPr>
          <w:p w14:paraId="11C7CF5A" w14:textId="73124374" w:rsidR="005F4C8E" w:rsidRPr="00C347BB" w:rsidRDefault="005F4C8E" w:rsidP="008E1F8B">
            <w:pPr>
              <w:spacing w:line="240" w:lineRule="auto"/>
              <w:jc w:val="center"/>
              <w:rPr>
                <w:rFonts w:asciiTheme="majorHAnsi" w:hAnsiTheme="majorHAnsi" w:cstheme="majorHAnsi"/>
                <w:color w:val="000000"/>
                <w:sz w:val="20"/>
                <w:szCs w:val="20"/>
              </w:rPr>
            </w:pPr>
            <w:r w:rsidRPr="00593F91">
              <w:t>5,249.3</w:t>
            </w:r>
          </w:p>
        </w:tc>
        <w:tc>
          <w:tcPr>
            <w:tcW w:w="1260" w:type="dxa"/>
            <w:tcBorders>
              <w:top w:val="nil"/>
              <w:left w:val="nil"/>
              <w:bottom w:val="single" w:sz="4" w:space="0" w:color="auto"/>
              <w:right w:val="single" w:sz="4" w:space="0" w:color="auto"/>
            </w:tcBorders>
            <w:shd w:val="clear" w:color="auto" w:fill="auto"/>
            <w:noWrap/>
            <w:vAlign w:val="center"/>
          </w:tcPr>
          <w:p w14:paraId="396A5A8E" w14:textId="499FB52A" w:rsidR="005F4C8E" w:rsidRPr="00C347BB" w:rsidRDefault="005F4C8E" w:rsidP="008E1F8B">
            <w:pPr>
              <w:spacing w:line="240" w:lineRule="auto"/>
              <w:jc w:val="center"/>
              <w:rPr>
                <w:rFonts w:asciiTheme="majorHAnsi" w:hAnsiTheme="majorHAnsi" w:cstheme="majorHAnsi"/>
                <w:color w:val="000000"/>
                <w:sz w:val="20"/>
                <w:szCs w:val="20"/>
              </w:rPr>
            </w:pPr>
            <w:r w:rsidRPr="00593F91">
              <w:t>311.6</w:t>
            </w:r>
          </w:p>
        </w:tc>
        <w:tc>
          <w:tcPr>
            <w:tcW w:w="1170" w:type="dxa"/>
            <w:tcBorders>
              <w:top w:val="nil"/>
              <w:left w:val="nil"/>
              <w:bottom w:val="single" w:sz="4" w:space="0" w:color="auto"/>
              <w:right w:val="single" w:sz="4" w:space="0" w:color="auto"/>
            </w:tcBorders>
            <w:shd w:val="clear" w:color="auto" w:fill="auto"/>
            <w:noWrap/>
            <w:vAlign w:val="center"/>
          </w:tcPr>
          <w:p w14:paraId="4020CF87" w14:textId="655D26AE" w:rsidR="005F4C8E" w:rsidRPr="00C347BB" w:rsidRDefault="005F4C8E" w:rsidP="008E1F8B">
            <w:pPr>
              <w:spacing w:line="240" w:lineRule="auto"/>
              <w:jc w:val="center"/>
              <w:rPr>
                <w:rFonts w:asciiTheme="majorHAnsi" w:hAnsiTheme="majorHAnsi" w:cstheme="majorHAnsi"/>
                <w:color w:val="000000"/>
                <w:sz w:val="20"/>
                <w:szCs w:val="20"/>
              </w:rPr>
            </w:pPr>
            <w:r w:rsidRPr="00593F91">
              <w:t>383.5</w:t>
            </w:r>
          </w:p>
        </w:tc>
        <w:tc>
          <w:tcPr>
            <w:tcW w:w="1170" w:type="dxa"/>
            <w:tcBorders>
              <w:top w:val="nil"/>
              <w:left w:val="nil"/>
              <w:bottom w:val="single" w:sz="4" w:space="0" w:color="auto"/>
              <w:right w:val="single" w:sz="4" w:space="0" w:color="auto"/>
            </w:tcBorders>
            <w:shd w:val="clear" w:color="auto" w:fill="auto"/>
            <w:noWrap/>
            <w:vAlign w:val="center"/>
          </w:tcPr>
          <w:p w14:paraId="45C654FF" w14:textId="773814DF" w:rsidR="005F4C8E" w:rsidRPr="00C347BB" w:rsidRDefault="005F4C8E" w:rsidP="008E1F8B">
            <w:pPr>
              <w:spacing w:line="240" w:lineRule="auto"/>
              <w:jc w:val="center"/>
              <w:rPr>
                <w:rFonts w:asciiTheme="majorHAnsi" w:hAnsiTheme="majorHAnsi" w:cstheme="majorHAnsi"/>
                <w:color w:val="000000"/>
                <w:sz w:val="20"/>
                <w:szCs w:val="20"/>
              </w:rPr>
            </w:pPr>
            <w:r w:rsidRPr="00593F91">
              <w:t>535.8</w:t>
            </w:r>
          </w:p>
        </w:tc>
        <w:tc>
          <w:tcPr>
            <w:tcW w:w="1175" w:type="dxa"/>
            <w:tcBorders>
              <w:top w:val="nil"/>
              <w:left w:val="nil"/>
              <w:bottom w:val="single" w:sz="4" w:space="0" w:color="auto"/>
              <w:right w:val="single" w:sz="4" w:space="0" w:color="auto"/>
            </w:tcBorders>
            <w:shd w:val="clear" w:color="auto" w:fill="auto"/>
            <w:noWrap/>
            <w:vAlign w:val="center"/>
          </w:tcPr>
          <w:p w14:paraId="64B78424" w14:textId="4A88FAC8" w:rsidR="005F4C8E" w:rsidRPr="00C347BB" w:rsidRDefault="005F4C8E" w:rsidP="008E1F8B">
            <w:pPr>
              <w:spacing w:line="240" w:lineRule="auto"/>
              <w:jc w:val="center"/>
              <w:rPr>
                <w:rFonts w:asciiTheme="majorHAnsi" w:hAnsiTheme="majorHAnsi" w:cstheme="majorHAnsi"/>
                <w:color w:val="000000"/>
                <w:sz w:val="20"/>
                <w:szCs w:val="20"/>
              </w:rPr>
            </w:pPr>
            <w:r w:rsidRPr="00593F91">
              <w:t>783.7</w:t>
            </w:r>
          </w:p>
        </w:tc>
      </w:tr>
      <w:tr w:rsidR="005F4C8E" w:rsidRPr="00C347BB" w14:paraId="56EBA490"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33A60680" w14:textId="01D5C3DB" w:rsidR="005F4C8E" w:rsidRPr="00C347BB" w:rsidRDefault="005F4C8E" w:rsidP="008E1F8B">
            <w:pPr>
              <w:spacing w:line="240" w:lineRule="auto"/>
              <w:jc w:val="center"/>
              <w:rPr>
                <w:rFonts w:asciiTheme="majorHAnsi" w:hAnsiTheme="majorHAnsi" w:cstheme="majorHAnsi"/>
                <w:color w:val="000000"/>
                <w:sz w:val="20"/>
                <w:szCs w:val="20"/>
              </w:rPr>
            </w:pPr>
            <w:r w:rsidRPr="00593F91">
              <w:t>22.75%</w:t>
            </w:r>
          </w:p>
        </w:tc>
        <w:tc>
          <w:tcPr>
            <w:tcW w:w="1710" w:type="dxa"/>
            <w:tcBorders>
              <w:top w:val="nil"/>
              <w:left w:val="nil"/>
              <w:bottom w:val="single" w:sz="4" w:space="0" w:color="auto"/>
              <w:right w:val="single" w:sz="4" w:space="0" w:color="auto"/>
            </w:tcBorders>
            <w:shd w:val="clear" w:color="auto" w:fill="auto"/>
            <w:noWrap/>
            <w:vAlign w:val="center"/>
          </w:tcPr>
          <w:p w14:paraId="035425DC" w14:textId="09D9C6A5" w:rsidR="005F4C8E" w:rsidRPr="00C347BB" w:rsidRDefault="005F4C8E" w:rsidP="008E1F8B">
            <w:pPr>
              <w:spacing w:line="240" w:lineRule="auto"/>
              <w:jc w:val="center"/>
              <w:rPr>
                <w:rFonts w:asciiTheme="majorHAnsi" w:hAnsiTheme="majorHAnsi" w:cstheme="majorHAnsi"/>
                <w:color w:val="000000"/>
                <w:sz w:val="20"/>
                <w:szCs w:val="20"/>
              </w:rPr>
            </w:pPr>
            <w:r w:rsidRPr="00593F91">
              <w:t>5,249.3</w:t>
            </w:r>
          </w:p>
        </w:tc>
        <w:tc>
          <w:tcPr>
            <w:tcW w:w="1260" w:type="dxa"/>
            <w:tcBorders>
              <w:top w:val="nil"/>
              <w:left w:val="nil"/>
              <w:bottom w:val="single" w:sz="4" w:space="0" w:color="auto"/>
              <w:right w:val="single" w:sz="4" w:space="0" w:color="auto"/>
            </w:tcBorders>
            <w:shd w:val="clear" w:color="auto" w:fill="auto"/>
            <w:noWrap/>
            <w:vAlign w:val="center"/>
          </w:tcPr>
          <w:p w14:paraId="4E3D15BA" w14:textId="462A25B8" w:rsidR="005F4C8E" w:rsidRPr="00C347BB" w:rsidRDefault="005F4C8E" w:rsidP="008E1F8B">
            <w:pPr>
              <w:spacing w:line="240" w:lineRule="auto"/>
              <w:jc w:val="center"/>
              <w:rPr>
                <w:rFonts w:asciiTheme="majorHAnsi" w:hAnsiTheme="majorHAnsi" w:cstheme="majorHAnsi"/>
                <w:color w:val="000000"/>
                <w:sz w:val="20"/>
                <w:szCs w:val="20"/>
              </w:rPr>
            </w:pPr>
            <w:r w:rsidRPr="00593F91">
              <w:t>307.9</w:t>
            </w:r>
          </w:p>
        </w:tc>
        <w:tc>
          <w:tcPr>
            <w:tcW w:w="1170" w:type="dxa"/>
            <w:tcBorders>
              <w:top w:val="nil"/>
              <w:left w:val="nil"/>
              <w:bottom w:val="single" w:sz="4" w:space="0" w:color="auto"/>
              <w:right w:val="single" w:sz="4" w:space="0" w:color="auto"/>
            </w:tcBorders>
            <w:shd w:val="clear" w:color="auto" w:fill="auto"/>
            <w:noWrap/>
            <w:vAlign w:val="center"/>
          </w:tcPr>
          <w:p w14:paraId="1877723E" w14:textId="6241E301" w:rsidR="005F4C8E" w:rsidRPr="00C347BB" w:rsidRDefault="005F4C8E" w:rsidP="008E1F8B">
            <w:pPr>
              <w:spacing w:line="240" w:lineRule="auto"/>
              <w:jc w:val="center"/>
              <w:rPr>
                <w:rFonts w:asciiTheme="majorHAnsi" w:hAnsiTheme="majorHAnsi" w:cstheme="majorHAnsi"/>
                <w:color w:val="000000"/>
                <w:sz w:val="20"/>
                <w:szCs w:val="20"/>
              </w:rPr>
            </w:pPr>
            <w:r w:rsidRPr="00593F91">
              <w:t>378.3</w:t>
            </w:r>
          </w:p>
        </w:tc>
        <w:tc>
          <w:tcPr>
            <w:tcW w:w="1170" w:type="dxa"/>
            <w:tcBorders>
              <w:top w:val="nil"/>
              <w:left w:val="nil"/>
              <w:bottom w:val="single" w:sz="4" w:space="0" w:color="auto"/>
              <w:right w:val="single" w:sz="4" w:space="0" w:color="auto"/>
            </w:tcBorders>
            <w:shd w:val="clear" w:color="auto" w:fill="auto"/>
            <w:noWrap/>
            <w:vAlign w:val="center"/>
          </w:tcPr>
          <w:p w14:paraId="39666DB2" w14:textId="08B4A2CD" w:rsidR="005F4C8E" w:rsidRPr="00C347BB" w:rsidRDefault="005F4C8E" w:rsidP="008E1F8B">
            <w:pPr>
              <w:spacing w:line="240" w:lineRule="auto"/>
              <w:jc w:val="center"/>
              <w:rPr>
                <w:rFonts w:asciiTheme="majorHAnsi" w:hAnsiTheme="majorHAnsi" w:cstheme="majorHAnsi"/>
                <w:color w:val="000000"/>
                <w:sz w:val="20"/>
                <w:szCs w:val="20"/>
              </w:rPr>
            </w:pPr>
            <w:r w:rsidRPr="00593F91">
              <w:t>526.0</w:t>
            </w:r>
          </w:p>
        </w:tc>
        <w:tc>
          <w:tcPr>
            <w:tcW w:w="1175" w:type="dxa"/>
            <w:tcBorders>
              <w:top w:val="nil"/>
              <w:left w:val="nil"/>
              <w:bottom w:val="single" w:sz="4" w:space="0" w:color="auto"/>
              <w:right w:val="single" w:sz="4" w:space="0" w:color="auto"/>
            </w:tcBorders>
            <w:shd w:val="clear" w:color="auto" w:fill="auto"/>
            <w:noWrap/>
            <w:vAlign w:val="center"/>
          </w:tcPr>
          <w:p w14:paraId="298B0FD8" w14:textId="7C320257" w:rsidR="005F4C8E" w:rsidRPr="00C347BB" w:rsidRDefault="005F4C8E" w:rsidP="008E1F8B">
            <w:pPr>
              <w:spacing w:line="240" w:lineRule="auto"/>
              <w:jc w:val="center"/>
              <w:rPr>
                <w:rFonts w:asciiTheme="majorHAnsi" w:hAnsiTheme="majorHAnsi" w:cstheme="majorHAnsi"/>
                <w:color w:val="000000"/>
                <w:sz w:val="20"/>
                <w:szCs w:val="20"/>
              </w:rPr>
            </w:pPr>
            <w:r w:rsidRPr="00593F91">
              <w:t>766.5</w:t>
            </w:r>
          </w:p>
        </w:tc>
      </w:tr>
      <w:tr w:rsidR="005F4C8E" w:rsidRPr="00C347BB" w14:paraId="201FD0E2"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29151303" w14:textId="3EBD220C" w:rsidR="005F4C8E" w:rsidRPr="00C347BB" w:rsidRDefault="005F4C8E" w:rsidP="008E1F8B">
            <w:pPr>
              <w:spacing w:line="240" w:lineRule="auto"/>
              <w:jc w:val="center"/>
              <w:rPr>
                <w:rFonts w:asciiTheme="majorHAnsi" w:hAnsiTheme="majorHAnsi" w:cstheme="majorHAnsi"/>
                <w:color w:val="000000"/>
                <w:sz w:val="20"/>
                <w:szCs w:val="20"/>
              </w:rPr>
            </w:pPr>
            <w:r w:rsidRPr="00593F91">
              <w:t>23.00%</w:t>
            </w:r>
          </w:p>
        </w:tc>
        <w:tc>
          <w:tcPr>
            <w:tcW w:w="1710" w:type="dxa"/>
            <w:tcBorders>
              <w:top w:val="nil"/>
              <w:left w:val="nil"/>
              <w:bottom w:val="single" w:sz="4" w:space="0" w:color="auto"/>
              <w:right w:val="single" w:sz="4" w:space="0" w:color="auto"/>
            </w:tcBorders>
            <w:shd w:val="clear" w:color="auto" w:fill="auto"/>
            <w:noWrap/>
            <w:vAlign w:val="center"/>
          </w:tcPr>
          <w:p w14:paraId="288726BE" w14:textId="499C7BDC" w:rsidR="005F4C8E" w:rsidRPr="00C347BB" w:rsidRDefault="005F4C8E" w:rsidP="008E1F8B">
            <w:pPr>
              <w:spacing w:line="240" w:lineRule="auto"/>
              <w:jc w:val="center"/>
              <w:rPr>
                <w:rFonts w:asciiTheme="majorHAnsi" w:hAnsiTheme="majorHAnsi" w:cstheme="majorHAnsi"/>
                <w:color w:val="000000"/>
                <w:sz w:val="20"/>
                <w:szCs w:val="20"/>
              </w:rPr>
            </w:pPr>
            <w:r w:rsidRPr="00593F91">
              <w:t>5,249.9</w:t>
            </w:r>
          </w:p>
        </w:tc>
        <w:tc>
          <w:tcPr>
            <w:tcW w:w="1260" w:type="dxa"/>
            <w:tcBorders>
              <w:top w:val="nil"/>
              <w:left w:val="nil"/>
              <w:bottom w:val="single" w:sz="4" w:space="0" w:color="auto"/>
              <w:right w:val="single" w:sz="4" w:space="0" w:color="auto"/>
            </w:tcBorders>
            <w:shd w:val="clear" w:color="auto" w:fill="auto"/>
            <w:noWrap/>
            <w:vAlign w:val="center"/>
          </w:tcPr>
          <w:p w14:paraId="63E619E4" w14:textId="5F528C94" w:rsidR="005F4C8E" w:rsidRPr="00C347BB" w:rsidRDefault="005F4C8E" w:rsidP="008E1F8B">
            <w:pPr>
              <w:spacing w:line="240" w:lineRule="auto"/>
              <w:jc w:val="center"/>
              <w:rPr>
                <w:rFonts w:asciiTheme="majorHAnsi" w:hAnsiTheme="majorHAnsi" w:cstheme="majorHAnsi"/>
                <w:color w:val="000000"/>
                <w:sz w:val="20"/>
                <w:szCs w:val="20"/>
              </w:rPr>
            </w:pPr>
            <w:r w:rsidRPr="00593F91">
              <w:t>304.2</w:t>
            </w:r>
          </w:p>
        </w:tc>
        <w:tc>
          <w:tcPr>
            <w:tcW w:w="1170" w:type="dxa"/>
            <w:tcBorders>
              <w:top w:val="nil"/>
              <w:left w:val="nil"/>
              <w:bottom w:val="single" w:sz="4" w:space="0" w:color="auto"/>
              <w:right w:val="single" w:sz="4" w:space="0" w:color="auto"/>
            </w:tcBorders>
            <w:shd w:val="clear" w:color="auto" w:fill="auto"/>
            <w:noWrap/>
            <w:vAlign w:val="center"/>
          </w:tcPr>
          <w:p w14:paraId="0D7C3BFD" w14:textId="21C053AC" w:rsidR="005F4C8E" w:rsidRPr="00C347BB" w:rsidRDefault="005F4C8E" w:rsidP="008E1F8B">
            <w:pPr>
              <w:spacing w:line="240" w:lineRule="auto"/>
              <w:jc w:val="center"/>
              <w:rPr>
                <w:rFonts w:asciiTheme="majorHAnsi" w:hAnsiTheme="majorHAnsi" w:cstheme="majorHAnsi"/>
                <w:color w:val="000000"/>
                <w:sz w:val="20"/>
                <w:szCs w:val="20"/>
              </w:rPr>
            </w:pPr>
            <w:r w:rsidRPr="00593F91">
              <w:t>373.5</w:t>
            </w:r>
          </w:p>
        </w:tc>
        <w:tc>
          <w:tcPr>
            <w:tcW w:w="1170" w:type="dxa"/>
            <w:tcBorders>
              <w:top w:val="nil"/>
              <w:left w:val="nil"/>
              <w:bottom w:val="single" w:sz="4" w:space="0" w:color="auto"/>
              <w:right w:val="single" w:sz="4" w:space="0" w:color="auto"/>
            </w:tcBorders>
            <w:shd w:val="clear" w:color="auto" w:fill="auto"/>
            <w:noWrap/>
            <w:vAlign w:val="center"/>
          </w:tcPr>
          <w:p w14:paraId="72160B8F" w14:textId="19F67D32" w:rsidR="005F4C8E" w:rsidRPr="00C347BB" w:rsidRDefault="005F4C8E" w:rsidP="008E1F8B">
            <w:pPr>
              <w:spacing w:line="240" w:lineRule="auto"/>
              <w:jc w:val="center"/>
              <w:rPr>
                <w:rFonts w:asciiTheme="majorHAnsi" w:hAnsiTheme="majorHAnsi" w:cstheme="majorHAnsi"/>
                <w:color w:val="000000"/>
                <w:sz w:val="20"/>
                <w:szCs w:val="20"/>
              </w:rPr>
            </w:pPr>
            <w:r w:rsidRPr="00593F91">
              <w:t>516.9</w:t>
            </w:r>
          </w:p>
        </w:tc>
        <w:tc>
          <w:tcPr>
            <w:tcW w:w="1175" w:type="dxa"/>
            <w:tcBorders>
              <w:top w:val="nil"/>
              <w:left w:val="nil"/>
              <w:bottom w:val="single" w:sz="4" w:space="0" w:color="auto"/>
              <w:right w:val="single" w:sz="4" w:space="0" w:color="auto"/>
            </w:tcBorders>
            <w:shd w:val="clear" w:color="auto" w:fill="auto"/>
            <w:noWrap/>
            <w:vAlign w:val="center"/>
          </w:tcPr>
          <w:p w14:paraId="52C6650F" w14:textId="1183CC64" w:rsidR="005F4C8E" w:rsidRPr="00C347BB" w:rsidRDefault="005F4C8E" w:rsidP="008E1F8B">
            <w:pPr>
              <w:spacing w:line="240" w:lineRule="auto"/>
              <w:jc w:val="center"/>
              <w:rPr>
                <w:rFonts w:asciiTheme="majorHAnsi" w:hAnsiTheme="majorHAnsi" w:cstheme="majorHAnsi"/>
                <w:color w:val="000000"/>
                <w:sz w:val="20"/>
                <w:szCs w:val="20"/>
              </w:rPr>
            </w:pPr>
            <w:r w:rsidRPr="00593F91">
              <w:t>750.2</w:t>
            </w:r>
          </w:p>
        </w:tc>
      </w:tr>
      <w:tr w:rsidR="005F4C8E" w:rsidRPr="00C347BB" w14:paraId="1EFCE415"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7F9D3F2C" w14:textId="5217B1D6" w:rsidR="005F4C8E" w:rsidRPr="00C347BB" w:rsidRDefault="005F4C8E" w:rsidP="008E1F8B">
            <w:pPr>
              <w:spacing w:line="240" w:lineRule="auto"/>
              <w:jc w:val="center"/>
              <w:rPr>
                <w:rFonts w:asciiTheme="majorHAnsi" w:hAnsiTheme="majorHAnsi" w:cstheme="majorHAnsi"/>
                <w:color w:val="000000"/>
                <w:sz w:val="20"/>
                <w:szCs w:val="20"/>
              </w:rPr>
            </w:pPr>
            <w:r w:rsidRPr="00593F91">
              <w:t>23.25%</w:t>
            </w:r>
          </w:p>
        </w:tc>
        <w:tc>
          <w:tcPr>
            <w:tcW w:w="1710" w:type="dxa"/>
            <w:tcBorders>
              <w:top w:val="nil"/>
              <w:left w:val="nil"/>
              <w:bottom w:val="single" w:sz="4" w:space="0" w:color="auto"/>
              <w:right w:val="single" w:sz="4" w:space="0" w:color="auto"/>
            </w:tcBorders>
            <w:shd w:val="clear" w:color="auto" w:fill="auto"/>
            <w:noWrap/>
            <w:vAlign w:val="center"/>
          </w:tcPr>
          <w:p w14:paraId="4E8D695A" w14:textId="6B24142A" w:rsidR="005F4C8E" w:rsidRPr="00C347BB" w:rsidRDefault="005F4C8E" w:rsidP="008E1F8B">
            <w:pPr>
              <w:spacing w:line="240" w:lineRule="auto"/>
              <w:jc w:val="center"/>
              <w:rPr>
                <w:rFonts w:asciiTheme="majorHAnsi" w:hAnsiTheme="majorHAnsi" w:cstheme="majorHAnsi"/>
                <w:color w:val="000000"/>
                <w:sz w:val="20"/>
                <w:szCs w:val="20"/>
              </w:rPr>
            </w:pPr>
            <w:r w:rsidRPr="00593F91">
              <w:t>5,251.1</w:t>
            </w:r>
          </w:p>
        </w:tc>
        <w:tc>
          <w:tcPr>
            <w:tcW w:w="1260" w:type="dxa"/>
            <w:tcBorders>
              <w:top w:val="nil"/>
              <w:left w:val="nil"/>
              <w:bottom w:val="single" w:sz="4" w:space="0" w:color="auto"/>
              <w:right w:val="single" w:sz="4" w:space="0" w:color="auto"/>
            </w:tcBorders>
            <w:shd w:val="clear" w:color="auto" w:fill="auto"/>
            <w:noWrap/>
            <w:vAlign w:val="center"/>
          </w:tcPr>
          <w:p w14:paraId="220F90F7" w14:textId="77302F1A" w:rsidR="005F4C8E" w:rsidRPr="00C347BB" w:rsidRDefault="005F4C8E" w:rsidP="008E1F8B">
            <w:pPr>
              <w:spacing w:line="240" w:lineRule="auto"/>
              <w:jc w:val="center"/>
              <w:rPr>
                <w:rFonts w:asciiTheme="majorHAnsi" w:hAnsiTheme="majorHAnsi" w:cstheme="majorHAnsi"/>
                <w:color w:val="000000"/>
                <w:sz w:val="20"/>
                <w:szCs w:val="20"/>
              </w:rPr>
            </w:pPr>
            <w:r w:rsidRPr="00593F91">
              <w:t>300.5</w:t>
            </w:r>
          </w:p>
        </w:tc>
        <w:tc>
          <w:tcPr>
            <w:tcW w:w="1170" w:type="dxa"/>
            <w:tcBorders>
              <w:top w:val="nil"/>
              <w:left w:val="nil"/>
              <w:bottom w:val="single" w:sz="4" w:space="0" w:color="auto"/>
              <w:right w:val="single" w:sz="4" w:space="0" w:color="auto"/>
            </w:tcBorders>
            <w:shd w:val="clear" w:color="auto" w:fill="auto"/>
            <w:noWrap/>
            <w:vAlign w:val="center"/>
          </w:tcPr>
          <w:p w14:paraId="4A392374" w14:textId="66F7EF18" w:rsidR="005F4C8E" w:rsidRPr="00C347BB" w:rsidRDefault="005F4C8E" w:rsidP="008E1F8B">
            <w:pPr>
              <w:spacing w:line="240" w:lineRule="auto"/>
              <w:jc w:val="center"/>
              <w:rPr>
                <w:rFonts w:asciiTheme="majorHAnsi" w:hAnsiTheme="majorHAnsi" w:cstheme="majorHAnsi"/>
                <w:color w:val="000000"/>
                <w:sz w:val="20"/>
                <w:szCs w:val="20"/>
              </w:rPr>
            </w:pPr>
            <w:r w:rsidRPr="00593F91">
              <w:t>369.0</w:t>
            </w:r>
          </w:p>
        </w:tc>
        <w:tc>
          <w:tcPr>
            <w:tcW w:w="1170" w:type="dxa"/>
            <w:tcBorders>
              <w:top w:val="nil"/>
              <w:left w:val="nil"/>
              <w:bottom w:val="single" w:sz="4" w:space="0" w:color="auto"/>
              <w:right w:val="single" w:sz="4" w:space="0" w:color="auto"/>
            </w:tcBorders>
            <w:shd w:val="clear" w:color="auto" w:fill="auto"/>
            <w:noWrap/>
            <w:vAlign w:val="center"/>
          </w:tcPr>
          <w:p w14:paraId="0D11FD2C" w14:textId="166A4D85" w:rsidR="005F4C8E" w:rsidRPr="00C347BB" w:rsidRDefault="005F4C8E" w:rsidP="008E1F8B">
            <w:pPr>
              <w:spacing w:line="240" w:lineRule="auto"/>
              <w:jc w:val="center"/>
              <w:rPr>
                <w:rFonts w:asciiTheme="majorHAnsi" w:hAnsiTheme="majorHAnsi" w:cstheme="majorHAnsi"/>
                <w:color w:val="000000"/>
                <w:sz w:val="20"/>
                <w:szCs w:val="20"/>
              </w:rPr>
            </w:pPr>
            <w:r w:rsidRPr="00593F91">
              <w:t>508.5</w:t>
            </w:r>
          </w:p>
        </w:tc>
        <w:tc>
          <w:tcPr>
            <w:tcW w:w="1175" w:type="dxa"/>
            <w:tcBorders>
              <w:top w:val="nil"/>
              <w:left w:val="nil"/>
              <w:bottom w:val="single" w:sz="4" w:space="0" w:color="auto"/>
              <w:right w:val="single" w:sz="4" w:space="0" w:color="auto"/>
            </w:tcBorders>
            <w:shd w:val="clear" w:color="auto" w:fill="auto"/>
            <w:noWrap/>
            <w:vAlign w:val="center"/>
          </w:tcPr>
          <w:p w14:paraId="062A4745" w14:textId="5796D442" w:rsidR="005F4C8E" w:rsidRPr="00C347BB" w:rsidRDefault="005F4C8E" w:rsidP="008E1F8B">
            <w:pPr>
              <w:spacing w:line="240" w:lineRule="auto"/>
              <w:jc w:val="center"/>
              <w:rPr>
                <w:rFonts w:asciiTheme="majorHAnsi" w:hAnsiTheme="majorHAnsi" w:cstheme="majorHAnsi"/>
                <w:color w:val="000000"/>
                <w:sz w:val="20"/>
                <w:szCs w:val="20"/>
              </w:rPr>
            </w:pPr>
            <w:r w:rsidRPr="00593F91">
              <w:t>734.7</w:t>
            </w:r>
          </w:p>
        </w:tc>
      </w:tr>
      <w:tr w:rsidR="005F4C8E" w:rsidRPr="00C347BB" w14:paraId="49D3AC30"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66C6AE14" w14:textId="20E5A426" w:rsidR="005F4C8E" w:rsidRPr="00C347BB" w:rsidRDefault="005F4C8E" w:rsidP="008E1F8B">
            <w:pPr>
              <w:spacing w:line="240" w:lineRule="auto"/>
              <w:jc w:val="center"/>
              <w:rPr>
                <w:rFonts w:asciiTheme="majorHAnsi" w:hAnsiTheme="majorHAnsi" w:cstheme="majorHAnsi"/>
                <w:color w:val="000000"/>
                <w:sz w:val="20"/>
                <w:szCs w:val="20"/>
              </w:rPr>
            </w:pPr>
            <w:r w:rsidRPr="00593F91">
              <w:t>23.50%</w:t>
            </w:r>
          </w:p>
        </w:tc>
        <w:tc>
          <w:tcPr>
            <w:tcW w:w="1710" w:type="dxa"/>
            <w:tcBorders>
              <w:top w:val="nil"/>
              <w:left w:val="nil"/>
              <w:bottom w:val="single" w:sz="4" w:space="0" w:color="auto"/>
              <w:right w:val="single" w:sz="4" w:space="0" w:color="auto"/>
            </w:tcBorders>
            <w:shd w:val="clear" w:color="auto" w:fill="auto"/>
            <w:noWrap/>
            <w:vAlign w:val="center"/>
          </w:tcPr>
          <w:p w14:paraId="6F1114CC" w14:textId="286A85AD" w:rsidR="005F4C8E" w:rsidRPr="00C347BB" w:rsidRDefault="005F4C8E" w:rsidP="008E1F8B">
            <w:pPr>
              <w:spacing w:line="240" w:lineRule="auto"/>
              <w:jc w:val="center"/>
              <w:rPr>
                <w:rFonts w:asciiTheme="majorHAnsi" w:hAnsiTheme="majorHAnsi" w:cstheme="majorHAnsi"/>
                <w:color w:val="000000"/>
                <w:sz w:val="20"/>
                <w:szCs w:val="20"/>
              </w:rPr>
            </w:pPr>
            <w:r w:rsidRPr="00593F91">
              <w:t>5,253.0</w:t>
            </w:r>
          </w:p>
        </w:tc>
        <w:tc>
          <w:tcPr>
            <w:tcW w:w="1260" w:type="dxa"/>
            <w:tcBorders>
              <w:top w:val="nil"/>
              <w:left w:val="nil"/>
              <w:bottom w:val="single" w:sz="4" w:space="0" w:color="auto"/>
              <w:right w:val="single" w:sz="4" w:space="0" w:color="auto"/>
            </w:tcBorders>
            <w:shd w:val="clear" w:color="auto" w:fill="auto"/>
            <w:noWrap/>
            <w:vAlign w:val="center"/>
          </w:tcPr>
          <w:p w14:paraId="7D57C6A6" w14:textId="500ADF6F" w:rsidR="005F4C8E" w:rsidRPr="00C347BB" w:rsidRDefault="005F4C8E" w:rsidP="008E1F8B">
            <w:pPr>
              <w:spacing w:line="240" w:lineRule="auto"/>
              <w:jc w:val="center"/>
              <w:rPr>
                <w:rFonts w:asciiTheme="majorHAnsi" w:hAnsiTheme="majorHAnsi" w:cstheme="majorHAnsi"/>
                <w:color w:val="000000"/>
                <w:sz w:val="20"/>
                <w:szCs w:val="20"/>
              </w:rPr>
            </w:pPr>
            <w:r w:rsidRPr="00593F91">
              <w:t>296.9</w:t>
            </w:r>
          </w:p>
        </w:tc>
        <w:tc>
          <w:tcPr>
            <w:tcW w:w="1170" w:type="dxa"/>
            <w:tcBorders>
              <w:top w:val="nil"/>
              <w:left w:val="nil"/>
              <w:bottom w:val="single" w:sz="4" w:space="0" w:color="auto"/>
              <w:right w:val="single" w:sz="4" w:space="0" w:color="auto"/>
            </w:tcBorders>
            <w:shd w:val="clear" w:color="auto" w:fill="auto"/>
            <w:noWrap/>
            <w:vAlign w:val="center"/>
          </w:tcPr>
          <w:p w14:paraId="2B6CC7EA" w14:textId="07152DA3" w:rsidR="005F4C8E" w:rsidRPr="00C347BB" w:rsidRDefault="005F4C8E" w:rsidP="008E1F8B">
            <w:pPr>
              <w:spacing w:line="240" w:lineRule="auto"/>
              <w:jc w:val="center"/>
              <w:rPr>
                <w:rFonts w:asciiTheme="majorHAnsi" w:hAnsiTheme="majorHAnsi" w:cstheme="majorHAnsi"/>
                <w:color w:val="000000"/>
                <w:sz w:val="20"/>
                <w:szCs w:val="20"/>
              </w:rPr>
            </w:pPr>
            <w:r w:rsidRPr="00593F91">
              <w:t>364.9</w:t>
            </w:r>
          </w:p>
        </w:tc>
        <w:tc>
          <w:tcPr>
            <w:tcW w:w="1170" w:type="dxa"/>
            <w:tcBorders>
              <w:top w:val="nil"/>
              <w:left w:val="nil"/>
              <w:bottom w:val="single" w:sz="4" w:space="0" w:color="auto"/>
              <w:right w:val="single" w:sz="4" w:space="0" w:color="auto"/>
            </w:tcBorders>
            <w:shd w:val="clear" w:color="auto" w:fill="auto"/>
            <w:noWrap/>
            <w:vAlign w:val="center"/>
          </w:tcPr>
          <w:p w14:paraId="073E2E5C" w14:textId="3FA4C851" w:rsidR="005F4C8E" w:rsidRPr="00C347BB" w:rsidRDefault="005F4C8E" w:rsidP="008E1F8B">
            <w:pPr>
              <w:spacing w:line="240" w:lineRule="auto"/>
              <w:jc w:val="center"/>
              <w:rPr>
                <w:rFonts w:asciiTheme="majorHAnsi" w:hAnsiTheme="majorHAnsi" w:cstheme="majorHAnsi"/>
                <w:color w:val="000000"/>
                <w:sz w:val="20"/>
                <w:szCs w:val="20"/>
              </w:rPr>
            </w:pPr>
            <w:r w:rsidRPr="00593F91">
              <w:t>500.6</w:t>
            </w:r>
          </w:p>
        </w:tc>
        <w:tc>
          <w:tcPr>
            <w:tcW w:w="1175" w:type="dxa"/>
            <w:tcBorders>
              <w:top w:val="nil"/>
              <w:left w:val="nil"/>
              <w:bottom w:val="single" w:sz="4" w:space="0" w:color="auto"/>
              <w:right w:val="single" w:sz="4" w:space="0" w:color="auto"/>
            </w:tcBorders>
            <w:shd w:val="clear" w:color="auto" w:fill="auto"/>
            <w:noWrap/>
            <w:vAlign w:val="center"/>
          </w:tcPr>
          <w:p w14:paraId="7785246F" w14:textId="01742B5C" w:rsidR="005F4C8E" w:rsidRPr="00C347BB" w:rsidRDefault="005F4C8E" w:rsidP="008E1F8B">
            <w:pPr>
              <w:spacing w:line="240" w:lineRule="auto"/>
              <w:jc w:val="center"/>
              <w:rPr>
                <w:rFonts w:asciiTheme="majorHAnsi" w:hAnsiTheme="majorHAnsi" w:cstheme="majorHAnsi"/>
                <w:color w:val="000000"/>
                <w:sz w:val="20"/>
                <w:szCs w:val="20"/>
              </w:rPr>
            </w:pPr>
            <w:r w:rsidRPr="00593F91">
              <w:t>720.1</w:t>
            </w:r>
          </w:p>
        </w:tc>
      </w:tr>
      <w:tr w:rsidR="005F4C8E" w:rsidRPr="00C347BB" w14:paraId="280FA873"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58817CA3" w14:textId="610E0280" w:rsidR="005F4C8E" w:rsidRPr="00C347BB" w:rsidRDefault="005F4C8E" w:rsidP="008E1F8B">
            <w:pPr>
              <w:spacing w:line="240" w:lineRule="auto"/>
              <w:jc w:val="center"/>
              <w:rPr>
                <w:rFonts w:asciiTheme="majorHAnsi" w:hAnsiTheme="majorHAnsi" w:cstheme="majorHAnsi"/>
                <w:color w:val="000000"/>
                <w:sz w:val="20"/>
                <w:szCs w:val="20"/>
              </w:rPr>
            </w:pPr>
            <w:r w:rsidRPr="00593F91">
              <w:t>23.75%</w:t>
            </w:r>
          </w:p>
        </w:tc>
        <w:tc>
          <w:tcPr>
            <w:tcW w:w="1710" w:type="dxa"/>
            <w:tcBorders>
              <w:top w:val="nil"/>
              <w:left w:val="nil"/>
              <w:bottom w:val="single" w:sz="4" w:space="0" w:color="auto"/>
              <w:right w:val="single" w:sz="4" w:space="0" w:color="auto"/>
            </w:tcBorders>
            <w:shd w:val="clear" w:color="auto" w:fill="auto"/>
            <w:noWrap/>
            <w:vAlign w:val="center"/>
          </w:tcPr>
          <w:p w14:paraId="7A9752D3" w14:textId="168B125A" w:rsidR="005F4C8E" w:rsidRPr="00C347BB" w:rsidRDefault="005F4C8E" w:rsidP="008E1F8B">
            <w:pPr>
              <w:spacing w:line="240" w:lineRule="auto"/>
              <w:jc w:val="center"/>
              <w:rPr>
                <w:rFonts w:asciiTheme="majorHAnsi" w:hAnsiTheme="majorHAnsi" w:cstheme="majorHAnsi"/>
                <w:color w:val="000000"/>
                <w:sz w:val="20"/>
                <w:szCs w:val="20"/>
              </w:rPr>
            </w:pPr>
            <w:r w:rsidRPr="00593F91">
              <w:t>5,255.4</w:t>
            </w:r>
          </w:p>
        </w:tc>
        <w:tc>
          <w:tcPr>
            <w:tcW w:w="1260" w:type="dxa"/>
            <w:tcBorders>
              <w:top w:val="nil"/>
              <w:left w:val="nil"/>
              <w:bottom w:val="single" w:sz="4" w:space="0" w:color="auto"/>
              <w:right w:val="single" w:sz="4" w:space="0" w:color="auto"/>
            </w:tcBorders>
            <w:shd w:val="clear" w:color="auto" w:fill="auto"/>
            <w:noWrap/>
            <w:vAlign w:val="center"/>
          </w:tcPr>
          <w:p w14:paraId="1A517226" w14:textId="28456CB6" w:rsidR="005F4C8E" w:rsidRPr="00C347BB" w:rsidRDefault="005F4C8E" w:rsidP="008E1F8B">
            <w:pPr>
              <w:spacing w:line="240" w:lineRule="auto"/>
              <w:jc w:val="center"/>
              <w:rPr>
                <w:rFonts w:asciiTheme="majorHAnsi" w:hAnsiTheme="majorHAnsi" w:cstheme="majorHAnsi"/>
                <w:color w:val="000000"/>
                <w:sz w:val="20"/>
                <w:szCs w:val="20"/>
              </w:rPr>
            </w:pPr>
            <w:r w:rsidRPr="00593F91">
              <w:t>293.3</w:t>
            </w:r>
          </w:p>
        </w:tc>
        <w:tc>
          <w:tcPr>
            <w:tcW w:w="1170" w:type="dxa"/>
            <w:tcBorders>
              <w:top w:val="nil"/>
              <w:left w:val="nil"/>
              <w:bottom w:val="single" w:sz="4" w:space="0" w:color="auto"/>
              <w:right w:val="single" w:sz="4" w:space="0" w:color="auto"/>
            </w:tcBorders>
            <w:shd w:val="clear" w:color="auto" w:fill="auto"/>
            <w:noWrap/>
            <w:vAlign w:val="center"/>
          </w:tcPr>
          <w:p w14:paraId="4194DB45" w14:textId="74B2393D" w:rsidR="005F4C8E" w:rsidRPr="00C347BB" w:rsidRDefault="005F4C8E" w:rsidP="008E1F8B">
            <w:pPr>
              <w:spacing w:line="240" w:lineRule="auto"/>
              <w:jc w:val="center"/>
              <w:rPr>
                <w:rFonts w:asciiTheme="majorHAnsi" w:hAnsiTheme="majorHAnsi" w:cstheme="majorHAnsi"/>
                <w:color w:val="000000"/>
                <w:sz w:val="20"/>
                <w:szCs w:val="20"/>
              </w:rPr>
            </w:pPr>
            <w:r w:rsidRPr="00593F91">
              <w:t>361.1</w:t>
            </w:r>
          </w:p>
        </w:tc>
        <w:tc>
          <w:tcPr>
            <w:tcW w:w="1170" w:type="dxa"/>
            <w:tcBorders>
              <w:top w:val="nil"/>
              <w:left w:val="nil"/>
              <w:bottom w:val="single" w:sz="4" w:space="0" w:color="auto"/>
              <w:right w:val="single" w:sz="4" w:space="0" w:color="auto"/>
            </w:tcBorders>
            <w:shd w:val="clear" w:color="auto" w:fill="auto"/>
            <w:noWrap/>
            <w:vAlign w:val="center"/>
          </w:tcPr>
          <w:p w14:paraId="06ACBA24" w14:textId="77115010" w:rsidR="005F4C8E" w:rsidRPr="00C347BB" w:rsidRDefault="005F4C8E" w:rsidP="008E1F8B">
            <w:pPr>
              <w:spacing w:line="240" w:lineRule="auto"/>
              <w:jc w:val="center"/>
              <w:rPr>
                <w:rFonts w:asciiTheme="majorHAnsi" w:hAnsiTheme="majorHAnsi" w:cstheme="majorHAnsi"/>
                <w:color w:val="000000"/>
                <w:sz w:val="20"/>
                <w:szCs w:val="20"/>
              </w:rPr>
            </w:pPr>
            <w:r w:rsidRPr="00593F91">
              <w:t>493.3</w:t>
            </w:r>
          </w:p>
        </w:tc>
        <w:tc>
          <w:tcPr>
            <w:tcW w:w="1175" w:type="dxa"/>
            <w:tcBorders>
              <w:top w:val="nil"/>
              <w:left w:val="nil"/>
              <w:bottom w:val="single" w:sz="4" w:space="0" w:color="auto"/>
              <w:right w:val="single" w:sz="4" w:space="0" w:color="auto"/>
            </w:tcBorders>
            <w:shd w:val="clear" w:color="auto" w:fill="auto"/>
            <w:noWrap/>
            <w:vAlign w:val="center"/>
          </w:tcPr>
          <w:p w14:paraId="2B6DA2EA" w14:textId="2C4C1665" w:rsidR="005F4C8E" w:rsidRPr="00C347BB" w:rsidRDefault="005F4C8E" w:rsidP="008E1F8B">
            <w:pPr>
              <w:spacing w:line="240" w:lineRule="auto"/>
              <w:jc w:val="center"/>
              <w:rPr>
                <w:rFonts w:asciiTheme="majorHAnsi" w:hAnsiTheme="majorHAnsi" w:cstheme="majorHAnsi"/>
                <w:color w:val="000000"/>
                <w:sz w:val="20"/>
                <w:szCs w:val="20"/>
              </w:rPr>
            </w:pPr>
            <w:r w:rsidRPr="00593F91">
              <w:t>706.3</w:t>
            </w:r>
          </w:p>
        </w:tc>
      </w:tr>
      <w:tr w:rsidR="005F4C8E" w:rsidRPr="00C347BB" w14:paraId="7813CADE"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7BBE1B84" w14:textId="74ACFEC1" w:rsidR="005F4C8E" w:rsidRPr="00C347BB" w:rsidRDefault="005F4C8E" w:rsidP="008E1F8B">
            <w:pPr>
              <w:spacing w:line="240" w:lineRule="auto"/>
              <w:jc w:val="center"/>
              <w:rPr>
                <w:rFonts w:asciiTheme="majorHAnsi" w:hAnsiTheme="majorHAnsi" w:cstheme="majorHAnsi"/>
                <w:color w:val="000000"/>
                <w:sz w:val="20"/>
                <w:szCs w:val="20"/>
              </w:rPr>
            </w:pPr>
            <w:r w:rsidRPr="00593F91">
              <w:t>24.00%</w:t>
            </w:r>
          </w:p>
        </w:tc>
        <w:tc>
          <w:tcPr>
            <w:tcW w:w="1710" w:type="dxa"/>
            <w:tcBorders>
              <w:top w:val="nil"/>
              <w:left w:val="nil"/>
              <w:bottom w:val="single" w:sz="4" w:space="0" w:color="auto"/>
              <w:right w:val="single" w:sz="4" w:space="0" w:color="auto"/>
            </w:tcBorders>
            <w:shd w:val="clear" w:color="auto" w:fill="auto"/>
            <w:noWrap/>
            <w:vAlign w:val="center"/>
          </w:tcPr>
          <w:p w14:paraId="47328BB1" w14:textId="6096D7EF" w:rsidR="005F4C8E" w:rsidRPr="00C347BB" w:rsidRDefault="005F4C8E" w:rsidP="008E1F8B">
            <w:pPr>
              <w:spacing w:line="240" w:lineRule="auto"/>
              <w:jc w:val="center"/>
              <w:rPr>
                <w:rFonts w:asciiTheme="majorHAnsi" w:hAnsiTheme="majorHAnsi" w:cstheme="majorHAnsi"/>
                <w:color w:val="000000"/>
                <w:sz w:val="20"/>
                <w:szCs w:val="20"/>
              </w:rPr>
            </w:pPr>
            <w:r w:rsidRPr="00593F91">
              <w:t>5,258.4</w:t>
            </w:r>
          </w:p>
        </w:tc>
        <w:tc>
          <w:tcPr>
            <w:tcW w:w="1260" w:type="dxa"/>
            <w:tcBorders>
              <w:top w:val="nil"/>
              <w:left w:val="nil"/>
              <w:bottom w:val="single" w:sz="4" w:space="0" w:color="auto"/>
              <w:right w:val="single" w:sz="4" w:space="0" w:color="auto"/>
            </w:tcBorders>
            <w:shd w:val="clear" w:color="auto" w:fill="auto"/>
            <w:noWrap/>
            <w:vAlign w:val="center"/>
          </w:tcPr>
          <w:p w14:paraId="7925DF23" w14:textId="5264CEFB" w:rsidR="005F4C8E" w:rsidRPr="00C347BB" w:rsidRDefault="005F4C8E" w:rsidP="008E1F8B">
            <w:pPr>
              <w:spacing w:line="240" w:lineRule="auto"/>
              <w:jc w:val="center"/>
              <w:rPr>
                <w:rFonts w:asciiTheme="majorHAnsi" w:hAnsiTheme="majorHAnsi" w:cstheme="majorHAnsi"/>
                <w:color w:val="000000"/>
                <w:sz w:val="20"/>
                <w:szCs w:val="20"/>
              </w:rPr>
            </w:pPr>
            <w:r w:rsidRPr="00593F91">
              <w:t>289.8</w:t>
            </w:r>
          </w:p>
        </w:tc>
        <w:tc>
          <w:tcPr>
            <w:tcW w:w="1170" w:type="dxa"/>
            <w:tcBorders>
              <w:top w:val="nil"/>
              <w:left w:val="nil"/>
              <w:bottom w:val="single" w:sz="4" w:space="0" w:color="auto"/>
              <w:right w:val="single" w:sz="4" w:space="0" w:color="auto"/>
            </w:tcBorders>
            <w:shd w:val="clear" w:color="auto" w:fill="auto"/>
            <w:noWrap/>
            <w:vAlign w:val="center"/>
          </w:tcPr>
          <w:p w14:paraId="3CEE39C0" w14:textId="37E5463A" w:rsidR="005F4C8E" w:rsidRPr="00C347BB" w:rsidRDefault="005F4C8E" w:rsidP="008E1F8B">
            <w:pPr>
              <w:spacing w:line="240" w:lineRule="auto"/>
              <w:jc w:val="center"/>
              <w:rPr>
                <w:rFonts w:asciiTheme="majorHAnsi" w:hAnsiTheme="majorHAnsi" w:cstheme="majorHAnsi"/>
                <w:color w:val="000000"/>
                <w:sz w:val="20"/>
                <w:szCs w:val="20"/>
              </w:rPr>
            </w:pPr>
            <w:r w:rsidRPr="00593F91">
              <w:t>357.8</w:t>
            </w:r>
          </w:p>
        </w:tc>
        <w:tc>
          <w:tcPr>
            <w:tcW w:w="1170" w:type="dxa"/>
            <w:tcBorders>
              <w:top w:val="nil"/>
              <w:left w:val="nil"/>
              <w:bottom w:val="single" w:sz="4" w:space="0" w:color="auto"/>
              <w:right w:val="single" w:sz="4" w:space="0" w:color="auto"/>
            </w:tcBorders>
            <w:shd w:val="clear" w:color="auto" w:fill="auto"/>
            <w:noWrap/>
            <w:vAlign w:val="center"/>
          </w:tcPr>
          <w:p w14:paraId="1A2A544B" w14:textId="06CEED35" w:rsidR="005F4C8E" w:rsidRPr="00C347BB" w:rsidRDefault="005F4C8E" w:rsidP="008E1F8B">
            <w:pPr>
              <w:spacing w:line="240" w:lineRule="auto"/>
              <w:jc w:val="center"/>
              <w:rPr>
                <w:rFonts w:asciiTheme="majorHAnsi" w:hAnsiTheme="majorHAnsi" w:cstheme="majorHAnsi"/>
                <w:color w:val="000000"/>
                <w:sz w:val="20"/>
                <w:szCs w:val="20"/>
              </w:rPr>
            </w:pPr>
            <w:r w:rsidRPr="00593F91">
              <w:t>486.5</w:t>
            </w:r>
          </w:p>
        </w:tc>
        <w:tc>
          <w:tcPr>
            <w:tcW w:w="1175" w:type="dxa"/>
            <w:tcBorders>
              <w:top w:val="nil"/>
              <w:left w:val="nil"/>
              <w:bottom w:val="single" w:sz="4" w:space="0" w:color="auto"/>
              <w:right w:val="single" w:sz="4" w:space="0" w:color="auto"/>
            </w:tcBorders>
            <w:shd w:val="clear" w:color="auto" w:fill="auto"/>
            <w:noWrap/>
            <w:vAlign w:val="center"/>
          </w:tcPr>
          <w:p w14:paraId="64F0770B" w14:textId="72EA3B2C" w:rsidR="005F4C8E" w:rsidRPr="00C347BB" w:rsidRDefault="005F4C8E" w:rsidP="008E1F8B">
            <w:pPr>
              <w:spacing w:line="240" w:lineRule="auto"/>
              <w:jc w:val="center"/>
              <w:rPr>
                <w:rFonts w:asciiTheme="majorHAnsi" w:hAnsiTheme="majorHAnsi" w:cstheme="majorHAnsi"/>
                <w:color w:val="000000"/>
                <w:sz w:val="20"/>
                <w:szCs w:val="20"/>
              </w:rPr>
            </w:pPr>
            <w:r w:rsidRPr="00593F91">
              <w:t>693.2</w:t>
            </w:r>
          </w:p>
        </w:tc>
      </w:tr>
      <w:tr w:rsidR="005F4C8E" w:rsidRPr="00C347BB" w14:paraId="40EF78A7"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2A5A99BD" w14:textId="033730D9" w:rsidR="005F4C8E" w:rsidRPr="00C347BB" w:rsidRDefault="005F4C8E" w:rsidP="008E1F8B">
            <w:pPr>
              <w:spacing w:line="240" w:lineRule="auto"/>
              <w:jc w:val="center"/>
              <w:rPr>
                <w:rFonts w:asciiTheme="majorHAnsi" w:hAnsiTheme="majorHAnsi" w:cstheme="majorHAnsi"/>
                <w:color w:val="000000"/>
                <w:sz w:val="20"/>
                <w:szCs w:val="20"/>
              </w:rPr>
            </w:pPr>
            <w:r w:rsidRPr="00593F91">
              <w:t>24.25%</w:t>
            </w:r>
          </w:p>
        </w:tc>
        <w:tc>
          <w:tcPr>
            <w:tcW w:w="1710" w:type="dxa"/>
            <w:tcBorders>
              <w:top w:val="nil"/>
              <w:left w:val="nil"/>
              <w:bottom w:val="single" w:sz="4" w:space="0" w:color="auto"/>
              <w:right w:val="single" w:sz="4" w:space="0" w:color="auto"/>
            </w:tcBorders>
            <w:shd w:val="clear" w:color="auto" w:fill="auto"/>
            <w:noWrap/>
            <w:vAlign w:val="center"/>
          </w:tcPr>
          <w:p w14:paraId="70C8C17F" w14:textId="483A7D02" w:rsidR="005F4C8E" w:rsidRPr="00C347BB" w:rsidRDefault="005F4C8E" w:rsidP="008E1F8B">
            <w:pPr>
              <w:spacing w:line="240" w:lineRule="auto"/>
              <w:jc w:val="center"/>
              <w:rPr>
                <w:rFonts w:asciiTheme="majorHAnsi" w:hAnsiTheme="majorHAnsi" w:cstheme="majorHAnsi"/>
                <w:color w:val="000000"/>
                <w:sz w:val="20"/>
                <w:szCs w:val="20"/>
              </w:rPr>
            </w:pPr>
            <w:r w:rsidRPr="00593F91">
              <w:t>5,261.9</w:t>
            </w:r>
          </w:p>
        </w:tc>
        <w:tc>
          <w:tcPr>
            <w:tcW w:w="1260" w:type="dxa"/>
            <w:tcBorders>
              <w:top w:val="nil"/>
              <w:left w:val="nil"/>
              <w:bottom w:val="single" w:sz="4" w:space="0" w:color="auto"/>
              <w:right w:val="single" w:sz="4" w:space="0" w:color="auto"/>
            </w:tcBorders>
            <w:shd w:val="clear" w:color="auto" w:fill="auto"/>
            <w:noWrap/>
            <w:vAlign w:val="center"/>
          </w:tcPr>
          <w:p w14:paraId="60B41D2C" w14:textId="0A41080C" w:rsidR="005F4C8E" w:rsidRPr="00C347BB" w:rsidRDefault="005F4C8E" w:rsidP="008E1F8B">
            <w:pPr>
              <w:spacing w:line="240" w:lineRule="auto"/>
              <w:jc w:val="center"/>
              <w:rPr>
                <w:rFonts w:asciiTheme="majorHAnsi" w:hAnsiTheme="majorHAnsi" w:cstheme="majorHAnsi"/>
                <w:color w:val="000000"/>
                <w:sz w:val="20"/>
                <w:szCs w:val="20"/>
              </w:rPr>
            </w:pPr>
            <w:r w:rsidRPr="00593F91">
              <w:t>286.3</w:t>
            </w:r>
          </w:p>
        </w:tc>
        <w:tc>
          <w:tcPr>
            <w:tcW w:w="1170" w:type="dxa"/>
            <w:tcBorders>
              <w:top w:val="nil"/>
              <w:left w:val="nil"/>
              <w:bottom w:val="single" w:sz="4" w:space="0" w:color="auto"/>
              <w:right w:val="single" w:sz="4" w:space="0" w:color="auto"/>
            </w:tcBorders>
            <w:shd w:val="clear" w:color="auto" w:fill="auto"/>
            <w:noWrap/>
            <w:vAlign w:val="center"/>
          </w:tcPr>
          <w:p w14:paraId="78CFFA85" w14:textId="2BC97B5B" w:rsidR="005F4C8E" w:rsidRPr="00C347BB" w:rsidRDefault="005F4C8E" w:rsidP="008E1F8B">
            <w:pPr>
              <w:spacing w:line="240" w:lineRule="auto"/>
              <w:jc w:val="center"/>
              <w:rPr>
                <w:rFonts w:asciiTheme="majorHAnsi" w:hAnsiTheme="majorHAnsi" w:cstheme="majorHAnsi"/>
                <w:color w:val="000000"/>
                <w:sz w:val="20"/>
                <w:szCs w:val="20"/>
              </w:rPr>
            </w:pPr>
            <w:r w:rsidRPr="00593F91">
              <w:t>354.7</w:t>
            </w:r>
          </w:p>
        </w:tc>
        <w:tc>
          <w:tcPr>
            <w:tcW w:w="1170" w:type="dxa"/>
            <w:tcBorders>
              <w:top w:val="nil"/>
              <w:left w:val="nil"/>
              <w:bottom w:val="single" w:sz="4" w:space="0" w:color="auto"/>
              <w:right w:val="single" w:sz="4" w:space="0" w:color="auto"/>
            </w:tcBorders>
            <w:shd w:val="clear" w:color="auto" w:fill="auto"/>
            <w:noWrap/>
            <w:vAlign w:val="center"/>
          </w:tcPr>
          <w:p w14:paraId="5DCAC2D7" w14:textId="481469C7" w:rsidR="005F4C8E" w:rsidRPr="00C347BB" w:rsidRDefault="005F4C8E" w:rsidP="008E1F8B">
            <w:pPr>
              <w:spacing w:line="240" w:lineRule="auto"/>
              <w:jc w:val="center"/>
              <w:rPr>
                <w:rFonts w:asciiTheme="majorHAnsi" w:hAnsiTheme="majorHAnsi" w:cstheme="majorHAnsi"/>
                <w:color w:val="000000"/>
                <w:sz w:val="20"/>
                <w:szCs w:val="20"/>
              </w:rPr>
            </w:pPr>
            <w:r w:rsidRPr="00593F91">
              <w:t>480.2</w:t>
            </w:r>
          </w:p>
        </w:tc>
        <w:tc>
          <w:tcPr>
            <w:tcW w:w="1175" w:type="dxa"/>
            <w:tcBorders>
              <w:top w:val="nil"/>
              <w:left w:val="nil"/>
              <w:bottom w:val="single" w:sz="4" w:space="0" w:color="auto"/>
              <w:right w:val="single" w:sz="4" w:space="0" w:color="auto"/>
            </w:tcBorders>
            <w:shd w:val="clear" w:color="auto" w:fill="auto"/>
            <w:noWrap/>
            <w:vAlign w:val="center"/>
          </w:tcPr>
          <w:p w14:paraId="46A19C21" w14:textId="5143C466" w:rsidR="005F4C8E" w:rsidRPr="00C347BB" w:rsidRDefault="005F4C8E" w:rsidP="008E1F8B">
            <w:pPr>
              <w:spacing w:line="240" w:lineRule="auto"/>
              <w:jc w:val="center"/>
              <w:rPr>
                <w:rFonts w:asciiTheme="majorHAnsi" w:hAnsiTheme="majorHAnsi" w:cstheme="majorHAnsi"/>
                <w:color w:val="000000"/>
                <w:sz w:val="20"/>
                <w:szCs w:val="20"/>
              </w:rPr>
            </w:pPr>
            <w:r w:rsidRPr="00593F91">
              <w:t>680.9</w:t>
            </w:r>
          </w:p>
        </w:tc>
      </w:tr>
      <w:tr w:rsidR="005F4C8E" w:rsidRPr="00C347BB" w14:paraId="2B3BDBF4"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3DF47044" w14:textId="3658FE77" w:rsidR="005F4C8E" w:rsidRPr="00C347BB" w:rsidRDefault="005F4C8E" w:rsidP="008E1F8B">
            <w:pPr>
              <w:spacing w:line="240" w:lineRule="auto"/>
              <w:jc w:val="center"/>
              <w:rPr>
                <w:rFonts w:asciiTheme="majorHAnsi" w:hAnsiTheme="majorHAnsi" w:cstheme="majorHAnsi"/>
                <w:color w:val="000000"/>
                <w:sz w:val="20"/>
                <w:szCs w:val="20"/>
              </w:rPr>
            </w:pPr>
            <w:r w:rsidRPr="00593F91">
              <w:t>24.50%</w:t>
            </w:r>
          </w:p>
        </w:tc>
        <w:tc>
          <w:tcPr>
            <w:tcW w:w="1710" w:type="dxa"/>
            <w:tcBorders>
              <w:top w:val="nil"/>
              <w:left w:val="nil"/>
              <w:bottom w:val="single" w:sz="4" w:space="0" w:color="auto"/>
              <w:right w:val="single" w:sz="4" w:space="0" w:color="auto"/>
            </w:tcBorders>
            <w:shd w:val="clear" w:color="auto" w:fill="auto"/>
            <w:noWrap/>
            <w:vAlign w:val="center"/>
          </w:tcPr>
          <w:p w14:paraId="6583B31F" w14:textId="1F0B855D" w:rsidR="005F4C8E" w:rsidRPr="00C347BB" w:rsidRDefault="005F4C8E" w:rsidP="008E1F8B">
            <w:pPr>
              <w:spacing w:line="240" w:lineRule="auto"/>
              <w:jc w:val="center"/>
              <w:rPr>
                <w:rFonts w:asciiTheme="majorHAnsi" w:hAnsiTheme="majorHAnsi" w:cstheme="majorHAnsi"/>
                <w:color w:val="000000"/>
                <w:sz w:val="20"/>
                <w:szCs w:val="20"/>
              </w:rPr>
            </w:pPr>
            <w:r w:rsidRPr="00593F91">
              <w:t>5,265.9</w:t>
            </w:r>
          </w:p>
        </w:tc>
        <w:tc>
          <w:tcPr>
            <w:tcW w:w="1260" w:type="dxa"/>
            <w:tcBorders>
              <w:top w:val="nil"/>
              <w:left w:val="nil"/>
              <w:bottom w:val="single" w:sz="4" w:space="0" w:color="auto"/>
              <w:right w:val="single" w:sz="4" w:space="0" w:color="auto"/>
            </w:tcBorders>
            <w:shd w:val="clear" w:color="auto" w:fill="auto"/>
            <w:noWrap/>
            <w:vAlign w:val="center"/>
          </w:tcPr>
          <w:p w14:paraId="087BA4FA" w14:textId="06E460FA" w:rsidR="005F4C8E" w:rsidRPr="00C347BB" w:rsidRDefault="005F4C8E" w:rsidP="008E1F8B">
            <w:pPr>
              <w:spacing w:line="240" w:lineRule="auto"/>
              <w:jc w:val="center"/>
              <w:rPr>
                <w:rFonts w:asciiTheme="majorHAnsi" w:hAnsiTheme="majorHAnsi" w:cstheme="majorHAnsi"/>
                <w:color w:val="000000"/>
                <w:sz w:val="20"/>
                <w:szCs w:val="20"/>
              </w:rPr>
            </w:pPr>
            <w:r w:rsidRPr="00593F91">
              <w:t>282.9</w:t>
            </w:r>
          </w:p>
        </w:tc>
        <w:tc>
          <w:tcPr>
            <w:tcW w:w="1170" w:type="dxa"/>
            <w:tcBorders>
              <w:top w:val="nil"/>
              <w:left w:val="nil"/>
              <w:bottom w:val="single" w:sz="4" w:space="0" w:color="auto"/>
              <w:right w:val="single" w:sz="4" w:space="0" w:color="auto"/>
            </w:tcBorders>
            <w:shd w:val="clear" w:color="auto" w:fill="auto"/>
            <w:noWrap/>
            <w:vAlign w:val="center"/>
          </w:tcPr>
          <w:p w14:paraId="0A74AFD7" w14:textId="4CCBA6BC" w:rsidR="005F4C8E" w:rsidRPr="00C347BB" w:rsidRDefault="005F4C8E" w:rsidP="008E1F8B">
            <w:pPr>
              <w:spacing w:line="240" w:lineRule="auto"/>
              <w:jc w:val="center"/>
              <w:rPr>
                <w:rFonts w:asciiTheme="majorHAnsi" w:hAnsiTheme="majorHAnsi" w:cstheme="majorHAnsi"/>
                <w:color w:val="000000"/>
                <w:sz w:val="20"/>
                <w:szCs w:val="20"/>
              </w:rPr>
            </w:pPr>
            <w:r w:rsidRPr="00593F91">
              <w:t>352.0</w:t>
            </w:r>
          </w:p>
        </w:tc>
        <w:tc>
          <w:tcPr>
            <w:tcW w:w="1170" w:type="dxa"/>
            <w:tcBorders>
              <w:top w:val="nil"/>
              <w:left w:val="nil"/>
              <w:bottom w:val="single" w:sz="4" w:space="0" w:color="auto"/>
              <w:right w:val="single" w:sz="4" w:space="0" w:color="auto"/>
            </w:tcBorders>
            <w:shd w:val="clear" w:color="auto" w:fill="auto"/>
            <w:noWrap/>
            <w:vAlign w:val="center"/>
          </w:tcPr>
          <w:p w14:paraId="398A743E" w14:textId="126430F4" w:rsidR="005F4C8E" w:rsidRPr="00C347BB" w:rsidRDefault="005F4C8E" w:rsidP="008E1F8B">
            <w:pPr>
              <w:spacing w:line="240" w:lineRule="auto"/>
              <w:jc w:val="center"/>
              <w:rPr>
                <w:rFonts w:asciiTheme="majorHAnsi" w:hAnsiTheme="majorHAnsi" w:cstheme="majorHAnsi"/>
                <w:color w:val="000000"/>
                <w:sz w:val="20"/>
                <w:szCs w:val="20"/>
              </w:rPr>
            </w:pPr>
            <w:r w:rsidRPr="00593F91">
              <w:t>474.4</w:t>
            </w:r>
          </w:p>
        </w:tc>
        <w:tc>
          <w:tcPr>
            <w:tcW w:w="1175" w:type="dxa"/>
            <w:tcBorders>
              <w:top w:val="nil"/>
              <w:left w:val="nil"/>
              <w:bottom w:val="single" w:sz="4" w:space="0" w:color="auto"/>
              <w:right w:val="single" w:sz="4" w:space="0" w:color="auto"/>
            </w:tcBorders>
            <w:shd w:val="clear" w:color="auto" w:fill="auto"/>
            <w:noWrap/>
            <w:vAlign w:val="center"/>
          </w:tcPr>
          <w:p w14:paraId="0F9A3DA7" w14:textId="07590FD8" w:rsidR="005F4C8E" w:rsidRPr="00C347BB" w:rsidRDefault="005F4C8E" w:rsidP="008E1F8B">
            <w:pPr>
              <w:spacing w:line="240" w:lineRule="auto"/>
              <w:jc w:val="center"/>
              <w:rPr>
                <w:rFonts w:asciiTheme="majorHAnsi" w:hAnsiTheme="majorHAnsi" w:cstheme="majorHAnsi"/>
                <w:color w:val="000000"/>
                <w:sz w:val="20"/>
                <w:szCs w:val="20"/>
              </w:rPr>
            </w:pPr>
            <w:r w:rsidRPr="00593F91">
              <w:t>669.4</w:t>
            </w:r>
          </w:p>
        </w:tc>
      </w:tr>
      <w:tr w:rsidR="005F4C8E" w:rsidRPr="00C347BB" w14:paraId="3A972191"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3271E088" w14:textId="63D929C5" w:rsidR="005F4C8E" w:rsidRPr="00C347BB" w:rsidRDefault="005F4C8E" w:rsidP="008E1F8B">
            <w:pPr>
              <w:spacing w:line="240" w:lineRule="auto"/>
              <w:jc w:val="center"/>
              <w:rPr>
                <w:rFonts w:asciiTheme="majorHAnsi" w:hAnsiTheme="majorHAnsi" w:cstheme="majorHAnsi"/>
                <w:color w:val="000000"/>
                <w:sz w:val="20"/>
                <w:szCs w:val="20"/>
              </w:rPr>
            </w:pPr>
            <w:r w:rsidRPr="00593F91">
              <w:t>24.75%</w:t>
            </w:r>
          </w:p>
        </w:tc>
        <w:tc>
          <w:tcPr>
            <w:tcW w:w="1710" w:type="dxa"/>
            <w:tcBorders>
              <w:top w:val="nil"/>
              <w:left w:val="nil"/>
              <w:bottom w:val="single" w:sz="4" w:space="0" w:color="auto"/>
              <w:right w:val="single" w:sz="4" w:space="0" w:color="auto"/>
            </w:tcBorders>
            <w:shd w:val="clear" w:color="auto" w:fill="auto"/>
            <w:noWrap/>
            <w:vAlign w:val="center"/>
          </w:tcPr>
          <w:p w14:paraId="55BF806C" w14:textId="13ED8993" w:rsidR="005F4C8E" w:rsidRPr="00C347BB" w:rsidRDefault="005F4C8E" w:rsidP="008E1F8B">
            <w:pPr>
              <w:spacing w:line="240" w:lineRule="auto"/>
              <w:jc w:val="center"/>
              <w:rPr>
                <w:rFonts w:asciiTheme="majorHAnsi" w:hAnsiTheme="majorHAnsi" w:cstheme="majorHAnsi"/>
                <w:color w:val="000000"/>
                <w:sz w:val="20"/>
                <w:szCs w:val="20"/>
              </w:rPr>
            </w:pPr>
            <w:r w:rsidRPr="00593F91">
              <w:t>5,270.4</w:t>
            </w:r>
          </w:p>
        </w:tc>
        <w:tc>
          <w:tcPr>
            <w:tcW w:w="1260" w:type="dxa"/>
            <w:tcBorders>
              <w:top w:val="nil"/>
              <w:left w:val="nil"/>
              <w:bottom w:val="single" w:sz="4" w:space="0" w:color="auto"/>
              <w:right w:val="single" w:sz="4" w:space="0" w:color="auto"/>
            </w:tcBorders>
            <w:shd w:val="clear" w:color="auto" w:fill="auto"/>
            <w:noWrap/>
            <w:vAlign w:val="center"/>
          </w:tcPr>
          <w:p w14:paraId="2EAE7FDC" w14:textId="5C831B94" w:rsidR="005F4C8E" w:rsidRPr="00C347BB" w:rsidRDefault="005F4C8E" w:rsidP="008E1F8B">
            <w:pPr>
              <w:spacing w:line="240" w:lineRule="auto"/>
              <w:jc w:val="center"/>
              <w:rPr>
                <w:rFonts w:asciiTheme="majorHAnsi" w:hAnsiTheme="majorHAnsi" w:cstheme="majorHAnsi"/>
                <w:color w:val="000000"/>
                <w:sz w:val="20"/>
                <w:szCs w:val="20"/>
              </w:rPr>
            </w:pPr>
            <w:r w:rsidRPr="00593F91">
              <w:t>279.6</w:t>
            </w:r>
          </w:p>
        </w:tc>
        <w:tc>
          <w:tcPr>
            <w:tcW w:w="1170" w:type="dxa"/>
            <w:tcBorders>
              <w:top w:val="nil"/>
              <w:left w:val="nil"/>
              <w:bottom w:val="single" w:sz="4" w:space="0" w:color="auto"/>
              <w:right w:val="single" w:sz="4" w:space="0" w:color="auto"/>
            </w:tcBorders>
            <w:shd w:val="clear" w:color="auto" w:fill="auto"/>
            <w:noWrap/>
            <w:vAlign w:val="center"/>
          </w:tcPr>
          <w:p w14:paraId="776BDF7A" w14:textId="53E6EE57" w:rsidR="005F4C8E" w:rsidRPr="00C347BB" w:rsidRDefault="005F4C8E" w:rsidP="008E1F8B">
            <w:pPr>
              <w:spacing w:line="240" w:lineRule="auto"/>
              <w:jc w:val="center"/>
              <w:rPr>
                <w:rFonts w:asciiTheme="majorHAnsi" w:hAnsiTheme="majorHAnsi" w:cstheme="majorHAnsi"/>
                <w:color w:val="000000"/>
                <w:sz w:val="20"/>
                <w:szCs w:val="20"/>
              </w:rPr>
            </w:pPr>
            <w:r w:rsidRPr="00593F91">
              <w:t>349.6</w:t>
            </w:r>
          </w:p>
        </w:tc>
        <w:tc>
          <w:tcPr>
            <w:tcW w:w="1170" w:type="dxa"/>
            <w:tcBorders>
              <w:top w:val="nil"/>
              <w:left w:val="nil"/>
              <w:bottom w:val="single" w:sz="4" w:space="0" w:color="auto"/>
              <w:right w:val="single" w:sz="4" w:space="0" w:color="auto"/>
            </w:tcBorders>
            <w:shd w:val="clear" w:color="auto" w:fill="auto"/>
            <w:noWrap/>
            <w:vAlign w:val="center"/>
          </w:tcPr>
          <w:p w14:paraId="0069533F" w14:textId="3CAE2B88" w:rsidR="005F4C8E" w:rsidRPr="00C347BB" w:rsidRDefault="005F4C8E" w:rsidP="008E1F8B">
            <w:pPr>
              <w:spacing w:line="240" w:lineRule="auto"/>
              <w:jc w:val="center"/>
              <w:rPr>
                <w:rFonts w:asciiTheme="majorHAnsi" w:hAnsiTheme="majorHAnsi" w:cstheme="majorHAnsi"/>
                <w:color w:val="000000"/>
                <w:sz w:val="20"/>
                <w:szCs w:val="20"/>
              </w:rPr>
            </w:pPr>
            <w:r w:rsidRPr="00593F91">
              <w:t>469.0</w:t>
            </w:r>
          </w:p>
        </w:tc>
        <w:tc>
          <w:tcPr>
            <w:tcW w:w="1175" w:type="dxa"/>
            <w:tcBorders>
              <w:top w:val="nil"/>
              <w:left w:val="nil"/>
              <w:bottom w:val="single" w:sz="4" w:space="0" w:color="auto"/>
              <w:right w:val="single" w:sz="4" w:space="0" w:color="auto"/>
            </w:tcBorders>
            <w:shd w:val="clear" w:color="auto" w:fill="auto"/>
            <w:noWrap/>
            <w:vAlign w:val="center"/>
          </w:tcPr>
          <w:p w14:paraId="63AB382E" w14:textId="35C824C8" w:rsidR="005F4C8E" w:rsidRPr="00C347BB" w:rsidRDefault="005F4C8E" w:rsidP="008E1F8B">
            <w:pPr>
              <w:spacing w:line="240" w:lineRule="auto"/>
              <w:jc w:val="center"/>
              <w:rPr>
                <w:rFonts w:asciiTheme="majorHAnsi" w:hAnsiTheme="majorHAnsi" w:cstheme="majorHAnsi"/>
                <w:color w:val="000000"/>
                <w:sz w:val="20"/>
                <w:szCs w:val="20"/>
              </w:rPr>
            </w:pPr>
            <w:r w:rsidRPr="00593F91">
              <w:t>658.5</w:t>
            </w:r>
          </w:p>
        </w:tc>
      </w:tr>
      <w:tr w:rsidR="005F4C8E" w:rsidRPr="00C347BB" w14:paraId="0D5AF354"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52EF8C45" w14:textId="2CE5FB09" w:rsidR="005F4C8E" w:rsidRPr="00C347BB" w:rsidRDefault="005F4C8E" w:rsidP="008E1F8B">
            <w:pPr>
              <w:spacing w:line="240" w:lineRule="auto"/>
              <w:jc w:val="center"/>
              <w:rPr>
                <w:rFonts w:asciiTheme="majorHAnsi" w:hAnsiTheme="majorHAnsi" w:cstheme="majorHAnsi"/>
                <w:color w:val="000000"/>
                <w:sz w:val="20"/>
                <w:szCs w:val="20"/>
              </w:rPr>
            </w:pPr>
            <w:r w:rsidRPr="00593F91">
              <w:t>25.00%</w:t>
            </w:r>
          </w:p>
        </w:tc>
        <w:tc>
          <w:tcPr>
            <w:tcW w:w="1710" w:type="dxa"/>
            <w:tcBorders>
              <w:top w:val="nil"/>
              <w:left w:val="nil"/>
              <w:bottom w:val="single" w:sz="4" w:space="0" w:color="auto"/>
              <w:right w:val="single" w:sz="4" w:space="0" w:color="auto"/>
            </w:tcBorders>
            <w:shd w:val="clear" w:color="auto" w:fill="auto"/>
            <w:noWrap/>
            <w:vAlign w:val="center"/>
          </w:tcPr>
          <w:p w14:paraId="4AE50FAD" w14:textId="409AFDE1" w:rsidR="005F4C8E" w:rsidRPr="00C347BB" w:rsidRDefault="005F4C8E" w:rsidP="008E1F8B">
            <w:pPr>
              <w:spacing w:line="240" w:lineRule="auto"/>
              <w:jc w:val="center"/>
              <w:rPr>
                <w:rFonts w:asciiTheme="majorHAnsi" w:hAnsiTheme="majorHAnsi" w:cstheme="majorHAnsi"/>
                <w:color w:val="000000"/>
                <w:sz w:val="20"/>
                <w:szCs w:val="20"/>
              </w:rPr>
            </w:pPr>
            <w:r w:rsidRPr="00593F91">
              <w:t>5,275.4</w:t>
            </w:r>
          </w:p>
        </w:tc>
        <w:tc>
          <w:tcPr>
            <w:tcW w:w="1260" w:type="dxa"/>
            <w:tcBorders>
              <w:top w:val="nil"/>
              <w:left w:val="nil"/>
              <w:bottom w:val="single" w:sz="4" w:space="0" w:color="auto"/>
              <w:right w:val="single" w:sz="4" w:space="0" w:color="auto"/>
            </w:tcBorders>
            <w:shd w:val="clear" w:color="auto" w:fill="auto"/>
            <w:noWrap/>
            <w:vAlign w:val="center"/>
          </w:tcPr>
          <w:p w14:paraId="50974D2B" w14:textId="501B59C5" w:rsidR="005F4C8E" w:rsidRPr="00C347BB" w:rsidRDefault="005F4C8E" w:rsidP="008E1F8B">
            <w:pPr>
              <w:spacing w:line="240" w:lineRule="auto"/>
              <w:jc w:val="center"/>
              <w:rPr>
                <w:rFonts w:asciiTheme="majorHAnsi" w:hAnsiTheme="majorHAnsi" w:cstheme="majorHAnsi"/>
                <w:color w:val="000000"/>
                <w:sz w:val="20"/>
                <w:szCs w:val="20"/>
              </w:rPr>
            </w:pPr>
            <w:r w:rsidRPr="00593F91">
              <w:t>276.3</w:t>
            </w:r>
          </w:p>
        </w:tc>
        <w:tc>
          <w:tcPr>
            <w:tcW w:w="1170" w:type="dxa"/>
            <w:tcBorders>
              <w:top w:val="nil"/>
              <w:left w:val="nil"/>
              <w:bottom w:val="single" w:sz="4" w:space="0" w:color="auto"/>
              <w:right w:val="single" w:sz="4" w:space="0" w:color="auto"/>
            </w:tcBorders>
            <w:shd w:val="clear" w:color="auto" w:fill="auto"/>
            <w:noWrap/>
            <w:vAlign w:val="center"/>
          </w:tcPr>
          <w:p w14:paraId="577844FC" w14:textId="0EE19713" w:rsidR="005F4C8E" w:rsidRPr="00C347BB" w:rsidRDefault="005F4C8E" w:rsidP="008E1F8B">
            <w:pPr>
              <w:spacing w:line="240" w:lineRule="auto"/>
              <w:jc w:val="center"/>
              <w:rPr>
                <w:rFonts w:asciiTheme="majorHAnsi" w:hAnsiTheme="majorHAnsi" w:cstheme="majorHAnsi"/>
                <w:color w:val="000000"/>
                <w:sz w:val="20"/>
                <w:szCs w:val="20"/>
              </w:rPr>
            </w:pPr>
            <w:r w:rsidRPr="00593F91">
              <w:t>347.6</w:t>
            </w:r>
          </w:p>
        </w:tc>
        <w:tc>
          <w:tcPr>
            <w:tcW w:w="1170" w:type="dxa"/>
            <w:tcBorders>
              <w:top w:val="nil"/>
              <w:left w:val="nil"/>
              <w:bottom w:val="single" w:sz="4" w:space="0" w:color="auto"/>
              <w:right w:val="single" w:sz="4" w:space="0" w:color="auto"/>
            </w:tcBorders>
            <w:shd w:val="clear" w:color="auto" w:fill="auto"/>
            <w:noWrap/>
            <w:vAlign w:val="center"/>
          </w:tcPr>
          <w:p w14:paraId="3BFB53A2" w14:textId="21FBB33C" w:rsidR="005F4C8E" w:rsidRPr="00C347BB" w:rsidRDefault="005F4C8E" w:rsidP="008E1F8B">
            <w:pPr>
              <w:spacing w:line="240" w:lineRule="auto"/>
              <w:jc w:val="center"/>
              <w:rPr>
                <w:rFonts w:asciiTheme="majorHAnsi" w:hAnsiTheme="majorHAnsi" w:cstheme="majorHAnsi"/>
                <w:color w:val="000000"/>
                <w:sz w:val="20"/>
                <w:szCs w:val="20"/>
              </w:rPr>
            </w:pPr>
            <w:r w:rsidRPr="00593F91">
              <w:t>463.9</w:t>
            </w:r>
          </w:p>
        </w:tc>
        <w:tc>
          <w:tcPr>
            <w:tcW w:w="1175" w:type="dxa"/>
            <w:tcBorders>
              <w:top w:val="nil"/>
              <w:left w:val="nil"/>
              <w:bottom w:val="single" w:sz="4" w:space="0" w:color="auto"/>
              <w:right w:val="single" w:sz="4" w:space="0" w:color="auto"/>
            </w:tcBorders>
            <w:shd w:val="clear" w:color="auto" w:fill="auto"/>
            <w:noWrap/>
            <w:vAlign w:val="center"/>
          </w:tcPr>
          <w:p w14:paraId="33C450C2" w14:textId="3955A37B" w:rsidR="005F4C8E" w:rsidRPr="00C347BB" w:rsidRDefault="005F4C8E" w:rsidP="008E1F8B">
            <w:pPr>
              <w:spacing w:line="240" w:lineRule="auto"/>
              <w:jc w:val="center"/>
              <w:rPr>
                <w:rFonts w:asciiTheme="majorHAnsi" w:hAnsiTheme="majorHAnsi" w:cstheme="majorHAnsi"/>
                <w:color w:val="000000"/>
                <w:sz w:val="20"/>
                <w:szCs w:val="20"/>
              </w:rPr>
            </w:pPr>
            <w:r w:rsidRPr="00593F91">
              <w:t>648.3</w:t>
            </w:r>
          </w:p>
        </w:tc>
      </w:tr>
      <w:tr w:rsidR="005F4C8E" w:rsidRPr="00C347BB" w14:paraId="7F0BA7A5"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7535909D" w14:textId="74A54AA4" w:rsidR="005F4C8E" w:rsidRPr="00C347BB" w:rsidRDefault="005F4C8E" w:rsidP="008E1F8B">
            <w:pPr>
              <w:spacing w:line="240" w:lineRule="auto"/>
              <w:jc w:val="center"/>
              <w:rPr>
                <w:rFonts w:asciiTheme="majorHAnsi" w:hAnsiTheme="majorHAnsi" w:cstheme="majorHAnsi"/>
                <w:color w:val="000000"/>
                <w:sz w:val="20"/>
                <w:szCs w:val="20"/>
              </w:rPr>
            </w:pPr>
            <w:r w:rsidRPr="00593F91">
              <w:t>25.25%</w:t>
            </w:r>
          </w:p>
        </w:tc>
        <w:tc>
          <w:tcPr>
            <w:tcW w:w="1710" w:type="dxa"/>
            <w:tcBorders>
              <w:top w:val="nil"/>
              <w:left w:val="nil"/>
              <w:bottom w:val="single" w:sz="4" w:space="0" w:color="auto"/>
              <w:right w:val="single" w:sz="4" w:space="0" w:color="auto"/>
            </w:tcBorders>
            <w:shd w:val="clear" w:color="auto" w:fill="auto"/>
            <w:noWrap/>
            <w:vAlign w:val="center"/>
          </w:tcPr>
          <w:p w14:paraId="22F9D298" w14:textId="42AE9599" w:rsidR="005F4C8E" w:rsidRPr="00C347BB" w:rsidRDefault="005F4C8E" w:rsidP="008E1F8B">
            <w:pPr>
              <w:spacing w:line="240" w:lineRule="auto"/>
              <w:jc w:val="center"/>
              <w:rPr>
                <w:rFonts w:asciiTheme="majorHAnsi" w:hAnsiTheme="majorHAnsi" w:cstheme="majorHAnsi"/>
                <w:color w:val="000000"/>
                <w:sz w:val="20"/>
                <w:szCs w:val="20"/>
              </w:rPr>
            </w:pPr>
            <w:r w:rsidRPr="00593F91">
              <w:t>5,280.8</w:t>
            </w:r>
          </w:p>
        </w:tc>
        <w:tc>
          <w:tcPr>
            <w:tcW w:w="1260" w:type="dxa"/>
            <w:tcBorders>
              <w:top w:val="nil"/>
              <w:left w:val="nil"/>
              <w:bottom w:val="single" w:sz="4" w:space="0" w:color="auto"/>
              <w:right w:val="single" w:sz="4" w:space="0" w:color="auto"/>
            </w:tcBorders>
            <w:shd w:val="clear" w:color="auto" w:fill="auto"/>
            <w:noWrap/>
            <w:vAlign w:val="center"/>
          </w:tcPr>
          <w:p w14:paraId="6510D8EC" w14:textId="2FC5F3E6" w:rsidR="005F4C8E" w:rsidRPr="00C347BB" w:rsidRDefault="005F4C8E" w:rsidP="008E1F8B">
            <w:pPr>
              <w:spacing w:line="240" w:lineRule="auto"/>
              <w:jc w:val="center"/>
              <w:rPr>
                <w:rFonts w:asciiTheme="majorHAnsi" w:hAnsiTheme="majorHAnsi" w:cstheme="majorHAnsi"/>
                <w:color w:val="000000"/>
                <w:sz w:val="20"/>
                <w:szCs w:val="20"/>
              </w:rPr>
            </w:pPr>
            <w:r w:rsidRPr="00593F91">
              <w:t>273.2</w:t>
            </w:r>
          </w:p>
        </w:tc>
        <w:tc>
          <w:tcPr>
            <w:tcW w:w="1170" w:type="dxa"/>
            <w:tcBorders>
              <w:top w:val="nil"/>
              <w:left w:val="nil"/>
              <w:bottom w:val="single" w:sz="4" w:space="0" w:color="auto"/>
              <w:right w:val="single" w:sz="4" w:space="0" w:color="auto"/>
            </w:tcBorders>
            <w:shd w:val="clear" w:color="auto" w:fill="auto"/>
            <w:noWrap/>
            <w:vAlign w:val="center"/>
          </w:tcPr>
          <w:p w14:paraId="525ECF6B" w14:textId="074A138A" w:rsidR="005F4C8E" w:rsidRPr="00C347BB" w:rsidRDefault="005F4C8E" w:rsidP="008E1F8B">
            <w:pPr>
              <w:spacing w:line="240" w:lineRule="auto"/>
              <w:jc w:val="center"/>
              <w:rPr>
                <w:rFonts w:asciiTheme="majorHAnsi" w:hAnsiTheme="majorHAnsi" w:cstheme="majorHAnsi"/>
                <w:color w:val="000000"/>
                <w:sz w:val="20"/>
                <w:szCs w:val="20"/>
              </w:rPr>
            </w:pPr>
            <w:r w:rsidRPr="00593F91">
              <w:t>345.8</w:t>
            </w:r>
          </w:p>
        </w:tc>
        <w:tc>
          <w:tcPr>
            <w:tcW w:w="1170" w:type="dxa"/>
            <w:tcBorders>
              <w:top w:val="nil"/>
              <w:left w:val="nil"/>
              <w:bottom w:val="single" w:sz="4" w:space="0" w:color="auto"/>
              <w:right w:val="single" w:sz="4" w:space="0" w:color="auto"/>
            </w:tcBorders>
            <w:shd w:val="clear" w:color="auto" w:fill="auto"/>
            <w:noWrap/>
            <w:vAlign w:val="center"/>
          </w:tcPr>
          <w:p w14:paraId="1A48151D" w14:textId="020DEC83" w:rsidR="005F4C8E" w:rsidRPr="00C347BB" w:rsidRDefault="005F4C8E" w:rsidP="008E1F8B">
            <w:pPr>
              <w:spacing w:line="240" w:lineRule="auto"/>
              <w:jc w:val="center"/>
              <w:rPr>
                <w:rFonts w:asciiTheme="majorHAnsi" w:hAnsiTheme="majorHAnsi" w:cstheme="majorHAnsi"/>
                <w:color w:val="000000"/>
                <w:sz w:val="20"/>
                <w:szCs w:val="20"/>
              </w:rPr>
            </w:pPr>
            <w:r w:rsidRPr="00593F91">
              <w:t>459.2</w:t>
            </w:r>
          </w:p>
        </w:tc>
        <w:tc>
          <w:tcPr>
            <w:tcW w:w="1175" w:type="dxa"/>
            <w:tcBorders>
              <w:top w:val="nil"/>
              <w:left w:val="nil"/>
              <w:bottom w:val="single" w:sz="4" w:space="0" w:color="auto"/>
              <w:right w:val="single" w:sz="4" w:space="0" w:color="auto"/>
            </w:tcBorders>
            <w:shd w:val="clear" w:color="auto" w:fill="auto"/>
            <w:noWrap/>
            <w:vAlign w:val="center"/>
          </w:tcPr>
          <w:p w14:paraId="5A5EB9D3" w14:textId="37AE0C59" w:rsidR="005F4C8E" w:rsidRPr="00C347BB" w:rsidRDefault="005F4C8E" w:rsidP="008E1F8B">
            <w:pPr>
              <w:spacing w:line="240" w:lineRule="auto"/>
              <w:jc w:val="center"/>
              <w:rPr>
                <w:rFonts w:asciiTheme="majorHAnsi" w:hAnsiTheme="majorHAnsi" w:cstheme="majorHAnsi"/>
                <w:color w:val="000000"/>
                <w:sz w:val="20"/>
                <w:szCs w:val="20"/>
              </w:rPr>
            </w:pPr>
            <w:r w:rsidRPr="00593F91">
              <w:t>638.8</w:t>
            </w:r>
          </w:p>
        </w:tc>
      </w:tr>
      <w:tr w:rsidR="005F4C8E" w:rsidRPr="00C347BB" w14:paraId="33BA6E8B"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7D2B5687" w14:textId="7DD62CB6" w:rsidR="005F4C8E" w:rsidRPr="00C347BB" w:rsidRDefault="005F4C8E" w:rsidP="008E1F8B">
            <w:pPr>
              <w:spacing w:line="240" w:lineRule="auto"/>
              <w:jc w:val="center"/>
              <w:rPr>
                <w:rFonts w:asciiTheme="majorHAnsi" w:hAnsiTheme="majorHAnsi" w:cstheme="majorHAnsi"/>
                <w:color w:val="000000"/>
                <w:sz w:val="20"/>
                <w:szCs w:val="20"/>
              </w:rPr>
            </w:pPr>
            <w:r w:rsidRPr="00593F91">
              <w:t>25.50%</w:t>
            </w:r>
          </w:p>
        </w:tc>
        <w:tc>
          <w:tcPr>
            <w:tcW w:w="1710" w:type="dxa"/>
            <w:tcBorders>
              <w:top w:val="nil"/>
              <w:left w:val="nil"/>
              <w:bottom w:val="single" w:sz="4" w:space="0" w:color="auto"/>
              <w:right w:val="single" w:sz="4" w:space="0" w:color="auto"/>
            </w:tcBorders>
            <w:shd w:val="clear" w:color="auto" w:fill="auto"/>
            <w:noWrap/>
            <w:vAlign w:val="center"/>
          </w:tcPr>
          <w:p w14:paraId="02A38756" w14:textId="75D48479" w:rsidR="005F4C8E" w:rsidRPr="00C347BB" w:rsidRDefault="005F4C8E" w:rsidP="008E1F8B">
            <w:pPr>
              <w:spacing w:line="240" w:lineRule="auto"/>
              <w:jc w:val="center"/>
              <w:rPr>
                <w:rFonts w:asciiTheme="majorHAnsi" w:hAnsiTheme="majorHAnsi" w:cstheme="majorHAnsi"/>
                <w:color w:val="000000"/>
                <w:sz w:val="20"/>
                <w:szCs w:val="20"/>
              </w:rPr>
            </w:pPr>
            <w:r w:rsidRPr="00593F91">
              <w:t>5,286.5</w:t>
            </w:r>
          </w:p>
        </w:tc>
        <w:tc>
          <w:tcPr>
            <w:tcW w:w="1260" w:type="dxa"/>
            <w:tcBorders>
              <w:top w:val="nil"/>
              <w:left w:val="nil"/>
              <w:bottom w:val="single" w:sz="4" w:space="0" w:color="auto"/>
              <w:right w:val="single" w:sz="4" w:space="0" w:color="auto"/>
            </w:tcBorders>
            <w:shd w:val="clear" w:color="auto" w:fill="auto"/>
            <w:noWrap/>
            <w:vAlign w:val="center"/>
          </w:tcPr>
          <w:p w14:paraId="568B9F52" w14:textId="767F3A17" w:rsidR="005F4C8E" w:rsidRPr="00C347BB" w:rsidRDefault="005F4C8E" w:rsidP="008E1F8B">
            <w:pPr>
              <w:spacing w:line="240" w:lineRule="auto"/>
              <w:jc w:val="center"/>
              <w:rPr>
                <w:rFonts w:asciiTheme="majorHAnsi" w:hAnsiTheme="majorHAnsi" w:cstheme="majorHAnsi"/>
                <w:color w:val="000000"/>
                <w:sz w:val="20"/>
                <w:szCs w:val="20"/>
              </w:rPr>
            </w:pPr>
            <w:r w:rsidRPr="00593F91">
              <w:t>270.2</w:t>
            </w:r>
          </w:p>
        </w:tc>
        <w:tc>
          <w:tcPr>
            <w:tcW w:w="1170" w:type="dxa"/>
            <w:tcBorders>
              <w:top w:val="nil"/>
              <w:left w:val="nil"/>
              <w:bottom w:val="single" w:sz="4" w:space="0" w:color="auto"/>
              <w:right w:val="single" w:sz="4" w:space="0" w:color="auto"/>
            </w:tcBorders>
            <w:shd w:val="clear" w:color="auto" w:fill="auto"/>
            <w:noWrap/>
            <w:vAlign w:val="center"/>
          </w:tcPr>
          <w:p w14:paraId="456BE5A8" w14:textId="4EAC199B" w:rsidR="005F4C8E" w:rsidRPr="00C347BB" w:rsidRDefault="005F4C8E" w:rsidP="008E1F8B">
            <w:pPr>
              <w:spacing w:line="240" w:lineRule="auto"/>
              <w:jc w:val="center"/>
              <w:rPr>
                <w:rFonts w:asciiTheme="majorHAnsi" w:hAnsiTheme="majorHAnsi" w:cstheme="majorHAnsi"/>
                <w:color w:val="000000"/>
                <w:sz w:val="20"/>
                <w:szCs w:val="20"/>
              </w:rPr>
            </w:pPr>
            <w:r w:rsidRPr="00593F91">
              <w:t>344.3</w:t>
            </w:r>
          </w:p>
        </w:tc>
        <w:tc>
          <w:tcPr>
            <w:tcW w:w="1170" w:type="dxa"/>
            <w:tcBorders>
              <w:top w:val="nil"/>
              <w:left w:val="nil"/>
              <w:bottom w:val="single" w:sz="4" w:space="0" w:color="auto"/>
              <w:right w:val="single" w:sz="4" w:space="0" w:color="auto"/>
            </w:tcBorders>
            <w:shd w:val="clear" w:color="auto" w:fill="auto"/>
            <w:noWrap/>
            <w:vAlign w:val="center"/>
          </w:tcPr>
          <w:p w14:paraId="575638D8" w14:textId="4EF66EBD" w:rsidR="005F4C8E" w:rsidRPr="00C347BB" w:rsidRDefault="005F4C8E" w:rsidP="008E1F8B">
            <w:pPr>
              <w:spacing w:line="240" w:lineRule="auto"/>
              <w:jc w:val="center"/>
              <w:rPr>
                <w:rFonts w:asciiTheme="majorHAnsi" w:hAnsiTheme="majorHAnsi" w:cstheme="majorHAnsi"/>
                <w:color w:val="000000"/>
                <w:sz w:val="20"/>
                <w:szCs w:val="20"/>
              </w:rPr>
            </w:pPr>
            <w:r w:rsidRPr="00593F91">
              <w:t>454.8</w:t>
            </w:r>
          </w:p>
        </w:tc>
        <w:tc>
          <w:tcPr>
            <w:tcW w:w="1175" w:type="dxa"/>
            <w:tcBorders>
              <w:top w:val="nil"/>
              <w:left w:val="nil"/>
              <w:bottom w:val="single" w:sz="4" w:space="0" w:color="auto"/>
              <w:right w:val="single" w:sz="4" w:space="0" w:color="auto"/>
            </w:tcBorders>
            <w:shd w:val="clear" w:color="auto" w:fill="auto"/>
            <w:noWrap/>
            <w:vAlign w:val="center"/>
          </w:tcPr>
          <w:p w14:paraId="21CF9601" w14:textId="19D311B2" w:rsidR="005F4C8E" w:rsidRPr="00C347BB" w:rsidRDefault="005F4C8E" w:rsidP="008E1F8B">
            <w:pPr>
              <w:spacing w:line="240" w:lineRule="auto"/>
              <w:jc w:val="center"/>
              <w:rPr>
                <w:rFonts w:asciiTheme="majorHAnsi" w:hAnsiTheme="majorHAnsi" w:cstheme="majorHAnsi"/>
                <w:color w:val="000000"/>
                <w:sz w:val="20"/>
                <w:szCs w:val="20"/>
              </w:rPr>
            </w:pPr>
            <w:r w:rsidRPr="00593F91">
              <w:t>629.8</w:t>
            </w:r>
          </w:p>
        </w:tc>
      </w:tr>
      <w:tr w:rsidR="005F4C8E" w:rsidRPr="00C347BB" w14:paraId="4B6266BE"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122F9D98" w14:textId="1BFEF792" w:rsidR="005F4C8E" w:rsidRPr="00C347BB" w:rsidRDefault="005F4C8E" w:rsidP="008E1F8B">
            <w:pPr>
              <w:spacing w:line="240" w:lineRule="auto"/>
              <w:jc w:val="center"/>
              <w:rPr>
                <w:rFonts w:asciiTheme="majorHAnsi" w:hAnsiTheme="majorHAnsi" w:cstheme="majorHAnsi"/>
                <w:color w:val="000000"/>
                <w:sz w:val="20"/>
                <w:szCs w:val="20"/>
              </w:rPr>
            </w:pPr>
            <w:r w:rsidRPr="00593F91">
              <w:t>25.75%</w:t>
            </w:r>
          </w:p>
        </w:tc>
        <w:tc>
          <w:tcPr>
            <w:tcW w:w="1710" w:type="dxa"/>
            <w:tcBorders>
              <w:top w:val="nil"/>
              <w:left w:val="nil"/>
              <w:bottom w:val="single" w:sz="4" w:space="0" w:color="auto"/>
              <w:right w:val="single" w:sz="4" w:space="0" w:color="auto"/>
            </w:tcBorders>
            <w:shd w:val="clear" w:color="auto" w:fill="auto"/>
            <w:noWrap/>
            <w:vAlign w:val="center"/>
          </w:tcPr>
          <w:p w14:paraId="47BD948E" w14:textId="1B48DB88" w:rsidR="005F4C8E" w:rsidRPr="00C347BB" w:rsidRDefault="005F4C8E" w:rsidP="008E1F8B">
            <w:pPr>
              <w:spacing w:line="240" w:lineRule="auto"/>
              <w:jc w:val="center"/>
              <w:rPr>
                <w:rFonts w:asciiTheme="majorHAnsi" w:hAnsiTheme="majorHAnsi" w:cstheme="majorHAnsi"/>
                <w:color w:val="000000"/>
                <w:sz w:val="20"/>
                <w:szCs w:val="20"/>
              </w:rPr>
            </w:pPr>
            <w:r w:rsidRPr="00593F91">
              <w:t>5,292.7</w:t>
            </w:r>
          </w:p>
        </w:tc>
        <w:tc>
          <w:tcPr>
            <w:tcW w:w="1260" w:type="dxa"/>
            <w:tcBorders>
              <w:top w:val="nil"/>
              <w:left w:val="nil"/>
              <w:bottom w:val="single" w:sz="4" w:space="0" w:color="auto"/>
              <w:right w:val="single" w:sz="4" w:space="0" w:color="auto"/>
            </w:tcBorders>
            <w:shd w:val="clear" w:color="auto" w:fill="auto"/>
            <w:noWrap/>
            <w:vAlign w:val="center"/>
          </w:tcPr>
          <w:p w14:paraId="4EF8D83D" w14:textId="7B8675D4" w:rsidR="005F4C8E" w:rsidRPr="00C347BB" w:rsidRDefault="005F4C8E" w:rsidP="008E1F8B">
            <w:pPr>
              <w:spacing w:line="240" w:lineRule="auto"/>
              <w:jc w:val="center"/>
              <w:rPr>
                <w:rFonts w:asciiTheme="majorHAnsi" w:hAnsiTheme="majorHAnsi" w:cstheme="majorHAnsi"/>
                <w:color w:val="000000"/>
                <w:sz w:val="20"/>
                <w:szCs w:val="20"/>
              </w:rPr>
            </w:pPr>
            <w:r w:rsidRPr="00593F91">
              <w:t>267.3</w:t>
            </w:r>
          </w:p>
        </w:tc>
        <w:tc>
          <w:tcPr>
            <w:tcW w:w="1170" w:type="dxa"/>
            <w:tcBorders>
              <w:top w:val="nil"/>
              <w:left w:val="nil"/>
              <w:bottom w:val="single" w:sz="4" w:space="0" w:color="auto"/>
              <w:right w:val="single" w:sz="4" w:space="0" w:color="auto"/>
            </w:tcBorders>
            <w:shd w:val="clear" w:color="auto" w:fill="auto"/>
            <w:noWrap/>
            <w:vAlign w:val="center"/>
          </w:tcPr>
          <w:p w14:paraId="3B8C6F08" w14:textId="225F2DFB" w:rsidR="005F4C8E" w:rsidRPr="00C347BB" w:rsidRDefault="005F4C8E" w:rsidP="008E1F8B">
            <w:pPr>
              <w:spacing w:line="240" w:lineRule="auto"/>
              <w:jc w:val="center"/>
              <w:rPr>
                <w:rFonts w:asciiTheme="majorHAnsi" w:hAnsiTheme="majorHAnsi" w:cstheme="majorHAnsi"/>
                <w:color w:val="000000"/>
                <w:sz w:val="20"/>
                <w:szCs w:val="20"/>
              </w:rPr>
            </w:pPr>
            <w:r w:rsidRPr="00593F91">
              <w:t>343.0</w:t>
            </w:r>
          </w:p>
        </w:tc>
        <w:tc>
          <w:tcPr>
            <w:tcW w:w="1170" w:type="dxa"/>
            <w:tcBorders>
              <w:top w:val="nil"/>
              <w:left w:val="nil"/>
              <w:bottom w:val="single" w:sz="4" w:space="0" w:color="auto"/>
              <w:right w:val="single" w:sz="4" w:space="0" w:color="auto"/>
            </w:tcBorders>
            <w:shd w:val="clear" w:color="auto" w:fill="auto"/>
            <w:noWrap/>
            <w:vAlign w:val="center"/>
          </w:tcPr>
          <w:p w14:paraId="158C5BB4" w14:textId="4C3CFC28" w:rsidR="005F4C8E" w:rsidRPr="00C347BB" w:rsidRDefault="005F4C8E" w:rsidP="008E1F8B">
            <w:pPr>
              <w:spacing w:line="240" w:lineRule="auto"/>
              <w:jc w:val="center"/>
              <w:rPr>
                <w:rFonts w:asciiTheme="majorHAnsi" w:hAnsiTheme="majorHAnsi" w:cstheme="majorHAnsi"/>
                <w:color w:val="000000"/>
                <w:sz w:val="20"/>
                <w:szCs w:val="20"/>
              </w:rPr>
            </w:pPr>
            <w:r w:rsidRPr="00593F91">
              <w:t>450.6</w:t>
            </w:r>
          </w:p>
        </w:tc>
        <w:tc>
          <w:tcPr>
            <w:tcW w:w="1175" w:type="dxa"/>
            <w:tcBorders>
              <w:top w:val="nil"/>
              <w:left w:val="nil"/>
              <w:bottom w:val="single" w:sz="4" w:space="0" w:color="auto"/>
              <w:right w:val="single" w:sz="4" w:space="0" w:color="auto"/>
            </w:tcBorders>
            <w:shd w:val="clear" w:color="auto" w:fill="auto"/>
            <w:noWrap/>
            <w:vAlign w:val="center"/>
          </w:tcPr>
          <w:p w14:paraId="44A6BB0B" w14:textId="2219CBE3" w:rsidR="005F4C8E" w:rsidRPr="00C347BB" w:rsidRDefault="005F4C8E" w:rsidP="008E1F8B">
            <w:pPr>
              <w:spacing w:line="240" w:lineRule="auto"/>
              <w:jc w:val="center"/>
              <w:rPr>
                <w:rFonts w:asciiTheme="majorHAnsi" w:hAnsiTheme="majorHAnsi" w:cstheme="majorHAnsi"/>
                <w:color w:val="000000"/>
                <w:sz w:val="20"/>
                <w:szCs w:val="20"/>
              </w:rPr>
            </w:pPr>
            <w:r w:rsidRPr="00593F91">
              <w:t>621.4</w:t>
            </w:r>
          </w:p>
        </w:tc>
      </w:tr>
      <w:tr w:rsidR="005F4C8E" w:rsidRPr="00C347BB" w14:paraId="6F9A5B43"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190C6762" w14:textId="30B4EA40" w:rsidR="005F4C8E" w:rsidRPr="00C347BB" w:rsidRDefault="005F4C8E" w:rsidP="008E1F8B">
            <w:pPr>
              <w:spacing w:line="240" w:lineRule="auto"/>
              <w:jc w:val="center"/>
              <w:rPr>
                <w:rFonts w:asciiTheme="majorHAnsi" w:hAnsiTheme="majorHAnsi" w:cstheme="majorHAnsi"/>
                <w:color w:val="000000"/>
                <w:sz w:val="20"/>
                <w:szCs w:val="20"/>
              </w:rPr>
            </w:pPr>
            <w:r w:rsidRPr="00593F91">
              <w:t>26.00%</w:t>
            </w:r>
          </w:p>
        </w:tc>
        <w:tc>
          <w:tcPr>
            <w:tcW w:w="1710" w:type="dxa"/>
            <w:tcBorders>
              <w:top w:val="nil"/>
              <w:left w:val="nil"/>
              <w:bottom w:val="single" w:sz="4" w:space="0" w:color="auto"/>
              <w:right w:val="single" w:sz="4" w:space="0" w:color="auto"/>
            </w:tcBorders>
            <w:shd w:val="clear" w:color="auto" w:fill="auto"/>
            <w:noWrap/>
            <w:vAlign w:val="center"/>
          </w:tcPr>
          <w:p w14:paraId="0BE6E4B6" w14:textId="2B0E0994" w:rsidR="005F4C8E" w:rsidRPr="00C347BB" w:rsidRDefault="005F4C8E" w:rsidP="008E1F8B">
            <w:pPr>
              <w:spacing w:line="240" w:lineRule="auto"/>
              <w:jc w:val="center"/>
              <w:rPr>
                <w:rFonts w:asciiTheme="majorHAnsi" w:hAnsiTheme="majorHAnsi" w:cstheme="majorHAnsi"/>
                <w:color w:val="000000"/>
                <w:sz w:val="20"/>
                <w:szCs w:val="20"/>
              </w:rPr>
            </w:pPr>
            <w:r w:rsidRPr="00593F91">
              <w:t>5,299.2</w:t>
            </w:r>
          </w:p>
        </w:tc>
        <w:tc>
          <w:tcPr>
            <w:tcW w:w="1260" w:type="dxa"/>
            <w:tcBorders>
              <w:top w:val="nil"/>
              <w:left w:val="nil"/>
              <w:bottom w:val="single" w:sz="4" w:space="0" w:color="auto"/>
              <w:right w:val="single" w:sz="4" w:space="0" w:color="auto"/>
            </w:tcBorders>
            <w:shd w:val="clear" w:color="auto" w:fill="auto"/>
            <w:noWrap/>
            <w:vAlign w:val="center"/>
          </w:tcPr>
          <w:p w14:paraId="33E0BFE2" w14:textId="0952C1D9" w:rsidR="005F4C8E" w:rsidRPr="00C347BB" w:rsidRDefault="005F4C8E" w:rsidP="008E1F8B">
            <w:pPr>
              <w:spacing w:line="240" w:lineRule="auto"/>
              <w:jc w:val="center"/>
              <w:rPr>
                <w:rFonts w:asciiTheme="majorHAnsi" w:hAnsiTheme="majorHAnsi" w:cstheme="majorHAnsi"/>
                <w:color w:val="000000"/>
                <w:sz w:val="20"/>
                <w:szCs w:val="20"/>
              </w:rPr>
            </w:pPr>
            <w:r w:rsidRPr="00593F91">
              <w:t>264.5</w:t>
            </w:r>
          </w:p>
        </w:tc>
        <w:tc>
          <w:tcPr>
            <w:tcW w:w="1170" w:type="dxa"/>
            <w:tcBorders>
              <w:top w:val="nil"/>
              <w:left w:val="nil"/>
              <w:bottom w:val="single" w:sz="4" w:space="0" w:color="auto"/>
              <w:right w:val="single" w:sz="4" w:space="0" w:color="auto"/>
            </w:tcBorders>
            <w:shd w:val="clear" w:color="auto" w:fill="auto"/>
            <w:noWrap/>
            <w:vAlign w:val="center"/>
          </w:tcPr>
          <w:p w14:paraId="502E098E" w14:textId="17F1D769" w:rsidR="005F4C8E" w:rsidRPr="00C347BB" w:rsidRDefault="005F4C8E" w:rsidP="008E1F8B">
            <w:pPr>
              <w:spacing w:line="240" w:lineRule="auto"/>
              <w:jc w:val="center"/>
              <w:rPr>
                <w:rFonts w:asciiTheme="majorHAnsi" w:hAnsiTheme="majorHAnsi" w:cstheme="majorHAnsi"/>
                <w:color w:val="000000"/>
                <w:sz w:val="20"/>
                <w:szCs w:val="20"/>
              </w:rPr>
            </w:pPr>
            <w:r w:rsidRPr="00593F91">
              <w:t>342.0</w:t>
            </w:r>
          </w:p>
        </w:tc>
        <w:tc>
          <w:tcPr>
            <w:tcW w:w="1170" w:type="dxa"/>
            <w:tcBorders>
              <w:top w:val="nil"/>
              <w:left w:val="nil"/>
              <w:bottom w:val="single" w:sz="4" w:space="0" w:color="auto"/>
              <w:right w:val="single" w:sz="4" w:space="0" w:color="auto"/>
            </w:tcBorders>
            <w:shd w:val="clear" w:color="auto" w:fill="auto"/>
            <w:noWrap/>
            <w:vAlign w:val="center"/>
          </w:tcPr>
          <w:p w14:paraId="11317F3B" w14:textId="6F44DF49" w:rsidR="005F4C8E" w:rsidRPr="00C347BB" w:rsidRDefault="005F4C8E" w:rsidP="008E1F8B">
            <w:pPr>
              <w:spacing w:line="240" w:lineRule="auto"/>
              <w:jc w:val="center"/>
              <w:rPr>
                <w:rFonts w:asciiTheme="majorHAnsi" w:hAnsiTheme="majorHAnsi" w:cstheme="majorHAnsi"/>
                <w:color w:val="000000"/>
                <w:sz w:val="20"/>
                <w:szCs w:val="20"/>
              </w:rPr>
            </w:pPr>
            <w:r w:rsidRPr="00593F91">
              <w:t>446.8</w:t>
            </w:r>
          </w:p>
        </w:tc>
        <w:tc>
          <w:tcPr>
            <w:tcW w:w="1175" w:type="dxa"/>
            <w:tcBorders>
              <w:top w:val="nil"/>
              <w:left w:val="nil"/>
              <w:bottom w:val="single" w:sz="4" w:space="0" w:color="auto"/>
              <w:right w:val="single" w:sz="4" w:space="0" w:color="auto"/>
            </w:tcBorders>
            <w:shd w:val="clear" w:color="auto" w:fill="auto"/>
            <w:noWrap/>
            <w:vAlign w:val="center"/>
          </w:tcPr>
          <w:p w14:paraId="32EAAA77" w14:textId="12B5E57C" w:rsidR="005F4C8E" w:rsidRPr="00C347BB" w:rsidRDefault="005F4C8E" w:rsidP="008E1F8B">
            <w:pPr>
              <w:spacing w:line="240" w:lineRule="auto"/>
              <w:jc w:val="center"/>
              <w:rPr>
                <w:rFonts w:asciiTheme="majorHAnsi" w:hAnsiTheme="majorHAnsi" w:cstheme="majorHAnsi"/>
                <w:color w:val="000000"/>
                <w:sz w:val="20"/>
                <w:szCs w:val="20"/>
              </w:rPr>
            </w:pPr>
            <w:r w:rsidRPr="00593F91">
              <w:t>613.6</w:t>
            </w:r>
          </w:p>
        </w:tc>
      </w:tr>
      <w:tr w:rsidR="005F4C8E" w:rsidRPr="00C347BB" w14:paraId="795B1E0E"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0FAC16D9" w14:textId="6F32854F" w:rsidR="005F4C8E" w:rsidRPr="00C347BB" w:rsidRDefault="005F4C8E" w:rsidP="008E1F8B">
            <w:pPr>
              <w:spacing w:line="240" w:lineRule="auto"/>
              <w:jc w:val="center"/>
              <w:rPr>
                <w:rFonts w:asciiTheme="majorHAnsi" w:hAnsiTheme="majorHAnsi" w:cstheme="majorHAnsi"/>
                <w:color w:val="000000"/>
                <w:sz w:val="20"/>
                <w:szCs w:val="20"/>
              </w:rPr>
            </w:pPr>
            <w:r w:rsidRPr="00593F91">
              <w:t>26.25%</w:t>
            </w:r>
          </w:p>
        </w:tc>
        <w:tc>
          <w:tcPr>
            <w:tcW w:w="1710" w:type="dxa"/>
            <w:tcBorders>
              <w:top w:val="nil"/>
              <w:left w:val="nil"/>
              <w:bottom w:val="single" w:sz="4" w:space="0" w:color="auto"/>
              <w:right w:val="single" w:sz="4" w:space="0" w:color="auto"/>
            </w:tcBorders>
            <w:shd w:val="clear" w:color="auto" w:fill="auto"/>
            <w:noWrap/>
            <w:vAlign w:val="center"/>
          </w:tcPr>
          <w:p w14:paraId="57F53FE6" w14:textId="1D042A14" w:rsidR="005F4C8E" w:rsidRPr="00C347BB" w:rsidRDefault="005F4C8E" w:rsidP="008E1F8B">
            <w:pPr>
              <w:spacing w:line="240" w:lineRule="auto"/>
              <w:jc w:val="center"/>
              <w:rPr>
                <w:rFonts w:asciiTheme="majorHAnsi" w:hAnsiTheme="majorHAnsi" w:cstheme="majorHAnsi"/>
                <w:color w:val="000000"/>
                <w:sz w:val="20"/>
                <w:szCs w:val="20"/>
              </w:rPr>
            </w:pPr>
            <w:r w:rsidRPr="00593F91">
              <w:t>5,306.0</w:t>
            </w:r>
          </w:p>
        </w:tc>
        <w:tc>
          <w:tcPr>
            <w:tcW w:w="1260" w:type="dxa"/>
            <w:tcBorders>
              <w:top w:val="nil"/>
              <w:left w:val="nil"/>
              <w:bottom w:val="single" w:sz="4" w:space="0" w:color="auto"/>
              <w:right w:val="single" w:sz="4" w:space="0" w:color="auto"/>
            </w:tcBorders>
            <w:shd w:val="clear" w:color="auto" w:fill="auto"/>
            <w:noWrap/>
            <w:vAlign w:val="center"/>
          </w:tcPr>
          <w:p w14:paraId="76A135D0" w14:textId="75846F36" w:rsidR="005F4C8E" w:rsidRPr="00C347BB" w:rsidRDefault="005F4C8E" w:rsidP="008E1F8B">
            <w:pPr>
              <w:spacing w:line="240" w:lineRule="auto"/>
              <w:jc w:val="center"/>
              <w:rPr>
                <w:rFonts w:asciiTheme="majorHAnsi" w:hAnsiTheme="majorHAnsi" w:cstheme="majorHAnsi"/>
                <w:color w:val="000000"/>
                <w:sz w:val="20"/>
                <w:szCs w:val="20"/>
              </w:rPr>
            </w:pPr>
            <w:r w:rsidRPr="00593F91">
              <w:t>261.8</w:t>
            </w:r>
          </w:p>
        </w:tc>
        <w:tc>
          <w:tcPr>
            <w:tcW w:w="1170" w:type="dxa"/>
            <w:tcBorders>
              <w:top w:val="nil"/>
              <w:left w:val="nil"/>
              <w:bottom w:val="single" w:sz="4" w:space="0" w:color="auto"/>
              <w:right w:val="single" w:sz="4" w:space="0" w:color="auto"/>
            </w:tcBorders>
            <w:shd w:val="clear" w:color="auto" w:fill="auto"/>
            <w:noWrap/>
            <w:vAlign w:val="center"/>
          </w:tcPr>
          <w:p w14:paraId="219A75E9" w14:textId="6F97E753" w:rsidR="005F4C8E" w:rsidRPr="00C347BB" w:rsidRDefault="005F4C8E" w:rsidP="008E1F8B">
            <w:pPr>
              <w:spacing w:line="240" w:lineRule="auto"/>
              <w:jc w:val="center"/>
              <w:rPr>
                <w:rFonts w:asciiTheme="majorHAnsi" w:hAnsiTheme="majorHAnsi" w:cstheme="majorHAnsi"/>
                <w:color w:val="000000"/>
                <w:sz w:val="20"/>
                <w:szCs w:val="20"/>
              </w:rPr>
            </w:pPr>
            <w:r w:rsidRPr="00593F91">
              <w:t>341.1</w:t>
            </w:r>
          </w:p>
        </w:tc>
        <w:tc>
          <w:tcPr>
            <w:tcW w:w="1170" w:type="dxa"/>
            <w:tcBorders>
              <w:top w:val="nil"/>
              <w:left w:val="nil"/>
              <w:bottom w:val="single" w:sz="4" w:space="0" w:color="auto"/>
              <w:right w:val="single" w:sz="4" w:space="0" w:color="auto"/>
            </w:tcBorders>
            <w:shd w:val="clear" w:color="auto" w:fill="auto"/>
            <w:noWrap/>
            <w:vAlign w:val="center"/>
          </w:tcPr>
          <w:p w14:paraId="3DAA1D2C" w14:textId="5435417F" w:rsidR="005F4C8E" w:rsidRPr="00C347BB" w:rsidRDefault="005F4C8E" w:rsidP="008E1F8B">
            <w:pPr>
              <w:spacing w:line="240" w:lineRule="auto"/>
              <w:jc w:val="center"/>
              <w:rPr>
                <w:rFonts w:asciiTheme="majorHAnsi" w:hAnsiTheme="majorHAnsi" w:cstheme="majorHAnsi"/>
                <w:color w:val="000000"/>
                <w:sz w:val="20"/>
                <w:szCs w:val="20"/>
              </w:rPr>
            </w:pPr>
            <w:r w:rsidRPr="00593F91">
              <w:t>443.2</w:t>
            </w:r>
          </w:p>
        </w:tc>
        <w:tc>
          <w:tcPr>
            <w:tcW w:w="1175" w:type="dxa"/>
            <w:tcBorders>
              <w:top w:val="nil"/>
              <w:left w:val="nil"/>
              <w:bottom w:val="single" w:sz="4" w:space="0" w:color="auto"/>
              <w:right w:val="single" w:sz="4" w:space="0" w:color="auto"/>
            </w:tcBorders>
            <w:shd w:val="clear" w:color="auto" w:fill="auto"/>
            <w:noWrap/>
            <w:vAlign w:val="center"/>
          </w:tcPr>
          <w:p w14:paraId="422DFD4C" w14:textId="1EB231BA" w:rsidR="005F4C8E" w:rsidRPr="00C347BB" w:rsidRDefault="005F4C8E" w:rsidP="008E1F8B">
            <w:pPr>
              <w:spacing w:line="240" w:lineRule="auto"/>
              <w:jc w:val="center"/>
              <w:rPr>
                <w:rFonts w:asciiTheme="majorHAnsi" w:hAnsiTheme="majorHAnsi" w:cstheme="majorHAnsi"/>
                <w:color w:val="000000"/>
                <w:sz w:val="20"/>
                <w:szCs w:val="20"/>
              </w:rPr>
            </w:pPr>
            <w:r w:rsidRPr="00593F91">
              <w:t>606.2</w:t>
            </w:r>
          </w:p>
        </w:tc>
      </w:tr>
      <w:tr w:rsidR="005F4C8E" w:rsidRPr="00C347BB" w14:paraId="4DB8B044"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379CE9EF" w14:textId="3993316A" w:rsidR="005F4C8E" w:rsidRPr="00C347BB" w:rsidRDefault="005F4C8E" w:rsidP="008E1F8B">
            <w:pPr>
              <w:spacing w:line="240" w:lineRule="auto"/>
              <w:jc w:val="center"/>
              <w:rPr>
                <w:rFonts w:asciiTheme="majorHAnsi" w:hAnsiTheme="majorHAnsi" w:cstheme="majorHAnsi"/>
                <w:color w:val="000000"/>
                <w:sz w:val="20"/>
                <w:szCs w:val="20"/>
              </w:rPr>
            </w:pPr>
            <w:r w:rsidRPr="00593F91">
              <w:t>26.50%</w:t>
            </w:r>
          </w:p>
        </w:tc>
        <w:tc>
          <w:tcPr>
            <w:tcW w:w="1710" w:type="dxa"/>
            <w:tcBorders>
              <w:top w:val="nil"/>
              <w:left w:val="nil"/>
              <w:bottom w:val="single" w:sz="4" w:space="0" w:color="auto"/>
              <w:right w:val="single" w:sz="4" w:space="0" w:color="auto"/>
            </w:tcBorders>
            <w:shd w:val="clear" w:color="auto" w:fill="auto"/>
            <w:noWrap/>
            <w:vAlign w:val="center"/>
          </w:tcPr>
          <w:p w14:paraId="19C75091" w14:textId="6BD53293" w:rsidR="005F4C8E" w:rsidRPr="00C347BB" w:rsidRDefault="005F4C8E" w:rsidP="008E1F8B">
            <w:pPr>
              <w:spacing w:line="240" w:lineRule="auto"/>
              <w:jc w:val="center"/>
              <w:rPr>
                <w:rFonts w:asciiTheme="majorHAnsi" w:hAnsiTheme="majorHAnsi" w:cstheme="majorHAnsi"/>
                <w:color w:val="000000"/>
                <w:sz w:val="20"/>
                <w:szCs w:val="20"/>
              </w:rPr>
            </w:pPr>
            <w:r w:rsidRPr="00593F91">
              <w:t>5,313.2</w:t>
            </w:r>
          </w:p>
        </w:tc>
        <w:tc>
          <w:tcPr>
            <w:tcW w:w="1260" w:type="dxa"/>
            <w:tcBorders>
              <w:top w:val="nil"/>
              <w:left w:val="nil"/>
              <w:bottom w:val="single" w:sz="4" w:space="0" w:color="auto"/>
              <w:right w:val="single" w:sz="4" w:space="0" w:color="auto"/>
            </w:tcBorders>
            <w:shd w:val="clear" w:color="auto" w:fill="auto"/>
            <w:noWrap/>
            <w:vAlign w:val="center"/>
          </w:tcPr>
          <w:p w14:paraId="0E6A7CE2" w14:textId="03844F1E" w:rsidR="005F4C8E" w:rsidRPr="00C347BB" w:rsidRDefault="005F4C8E" w:rsidP="008E1F8B">
            <w:pPr>
              <w:spacing w:line="240" w:lineRule="auto"/>
              <w:jc w:val="center"/>
              <w:rPr>
                <w:rFonts w:asciiTheme="majorHAnsi" w:hAnsiTheme="majorHAnsi" w:cstheme="majorHAnsi"/>
                <w:color w:val="000000"/>
                <w:sz w:val="20"/>
                <w:szCs w:val="20"/>
              </w:rPr>
            </w:pPr>
            <w:r w:rsidRPr="00593F91">
              <w:t>259.2</w:t>
            </w:r>
          </w:p>
        </w:tc>
        <w:tc>
          <w:tcPr>
            <w:tcW w:w="1170" w:type="dxa"/>
            <w:tcBorders>
              <w:top w:val="nil"/>
              <w:left w:val="nil"/>
              <w:bottom w:val="single" w:sz="4" w:space="0" w:color="auto"/>
              <w:right w:val="single" w:sz="4" w:space="0" w:color="auto"/>
            </w:tcBorders>
            <w:shd w:val="clear" w:color="auto" w:fill="auto"/>
            <w:noWrap/>
            <w:vAlign w:val="center"/>
          </w:tcPr>
          <w:p w14:paraId="2645920A" w14:textId="642DCCDC" w:rsidR="005F4C8E" w:rsidRPr="00C347BB" w:rsidRDefault="005F4C8E" w:rsidP="008E1F8B">
            <w:pPr>
              <w:spacing w:line="240" w:lineRule="auto"/>
              <w:jc w:val="center"/>
              <w:rPr>
                <w:rFonts w:asciiTheme="majorHAnsi" w:hAnsiTheme="majorHAnsi" w:cstheme="majorHAnsi"/>
                <w:color w:val="000000"/>
                <w:sz w:val="20"/>
                <w:szCs w:val="20"/>
              </w:rPr>
            </w:pPr>
            <w:r w:rsidRPr="00593F91">
              <w:t>340.4</w:t>
            </w:r>
          </w:p>
        </w:tc>
        <w:tc>
          <w:tcPr>
            <w:tcW w:w="1170" w:type="dxa"/>
            <w:tcBorders>
              <w:top w:val="nil"/>
              <w:left w:val="nil"/>
              <w:bottom w:val="single" w:sz="4" w:space="0" w:color="auto"/>
              <w:right w:val="single" w:sz="4" w:space="0" w:color="auto"/>
            </w:tcBorders>
            <w:shd w:val="clear" w:color="auto" w:fill="auto"/>
            <w:noWrap/>
            <w:vAlign w:val="center"/>
          </w:tcPr>
          <w:p w14:paraId="56005C5A" w14:textId="7590EA8D" w:rsidR="005F4C8E" w:rsidRPr="00C347BB" w:rsidRDefault="005F4C8E" w:rsidP="008E1F8B">
            <w:pPr>
              <w:spacing w:line="240" w:lineRule="auto"/>
              <w:jc w:val="center"/>
              <w:rPr>
                <w:rFonts w:asciiTheme="majorHAnsi" w:hAnsiTheme="majorHAnsi" w:cstheme="majorHAnsi"/>
                <w:color w:val="000000"/>
                <w:sz w:val="20"/>
                <w:szCs w:val="20"/>
              </w:rPr>
            </w:pPr>
            <w:r w:rsidRPr="00593F91">
              <w:t>439.8</w:t>
            </w:r>
          </w:p>
        </w:tc>
        <w:tc>
          <w:tcPr>
            <w:tcW w:w="1175" w:type="dxa"/>
            <w:tcBorders>
              <w:top w:val="nil"/>
              <w:left w:val="nil"/>
              <w:bottom w:val="single" w:sz="4" w:space="0" w:color="auto"/>
              <w:right w:val="single" w:sz="4" w:space="0" w:color="auto"/>
            </w:tcBorders>
            <w:shd w:val="clear" w:color="auto" w:fill="auto"/>
            <w:noWrap/>
            <w:vAlign w:val="center"/>
          </w:tcPr>
          <w:p w14:paraId="66E3D6EA" w14:textId="64ABAFB1" w:rsidR="005F4C8E" w:rsidRPr="00C347BB" w:rsidRDefault="005F4C8E" w:rsidP="008E1F8B">
            <w:pPr>
              <w:spacing w:line="240" w:lineRule="auto"/>
              <w:jc w:val="center"/>
              <w:rPr>
                <w:rFonts w:asciiTheme="majorHAnsi" w:hAnsiTheme="majorHAnsi" w:cstheme="majorHAnsi"/>
                <w:color w:val="000000"/>
                <w:sz w:val="20"/>
                <w:szCs w:val="20"/>
              </w:rPr>
            </w:pPr>
            <w:r w:rsidRPr="00593F91">
              <w:t>599.2</w:t>
            </w:r>
          </w:p>
        </w:tc>
      </w:tr>
      <w:tr w:rsidR="005F4C8E" w:rsidRPr="00C347BB" w14:paraId="6AC0DD97"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414EF1B3" w14:textId="2E3A8B42" w:rsidR="005F4C8E" w:rsidRPr="00C347BB" w:rsidRDefault="005F4C8E" w:rsidP="008E1F8B">
            <w:pPr>
              <w:spacing w:line="240" w:lineRule="auto"/>
              <w:jc w:val="center"/>
              <w:rPr>
                <w:rFonts w:asciiTheme="majorHAnsi" w:hAnsiTheme="majorHAnsi" w:cstheme="majorHAnsi"/>
                <w:color w:val="000000"/>
                <w:sz w:val="20"/>
                <w:szCs w:val="20"/>
              </w:rPr>
            </w:pPr>
            <w:r w:rsidRPr="00593F91">
              <w:t>26.75%</w:t>
            </w:r>
          </w:p>
        </w:tc>
        <w:tc>
          <w:tcPr>
            <w:tcW w:w="1710" w:type="dxa"/>
            <w:tcBorders>
              <w:top w:val="nil"/>
              <w:left w:val="nil"/>
              <w:bottom w:val="single" w:sz="4" w:space="0" w:color="auto"/>
              <w:right w:val="single" w:sz="4" w:space="0" w:color="auto"/>
            </w:tcBorders>
            <w:shd w:val="clear" w:color="auto" w:fill="auto"/>
            <w:noWrap/>
            <w:vAlign w:val="center"/>
          </w:tcPr>
          <w:p w14:paraId="0C9B476F" w14:textId="6068A0A1" w:rsidR="005F4C8E" w:rsidRPr="00C347BB" w:rsidRDefault="005F4C8E" w:rsidP="008E1F8B">
            <w:pPr>
              <w:spacing w:line="240" w:lineRule="auto"/>
              <w:jc w:val="center"/>
              <w:rPr>
                <w:rFonts w:asciiTheme="majorHAnsi" w:hAnsiTheme="majorHAnsi" w:cstheme="majorHAnsi"/>
                <w:color w:val="000000"/>
                <w:sz w:val="20"/>
                <w:szCs w:val="20"/>
              </w:rPr>
            </w:pPr>
            <w:r w:rsidRPr="00593F91">
              <w:t>5,320.7</w:t>
            </w:r>
          </w:p>
        </w:tc>
        <w:tc>
          <w:tcPr>
            <w:tcW w:w="1260" w:type="dxa"/>
            <w:tcBorders>
              <w:top w:val="nil"/>
              <w:left w:val="nil"/>
              <w:bottom w:val="single" w:sz="4" w:space="0" w:color="auto"/>
              <w:right w:val="single" w:sz="4" w:space="0" w:color="auto"/>
            </w:tcBorders>
            <w:shd w:val="clear" w:color="auto" w:fill="auto"/>
            <w:noWrap/>
            <w:vAlign w:val="center"/>
          </w:tcPr>
          <w:p w14:paraId="3C1013EA" w14:textId="4A1F9E2E" w:rsidR="005F4C8E" w:rsidRPr="00C347BB" w:rsidRDefault="005F4C8E" w:rsidP="008E1F8B">
            <w:pPr>
              <w:spacing w:line="240" w:lineRule="auto"/>
              <w:jc w:val="center"/>
              <w:rPr>
                <w:rFonts w:asciiTheme="majorHAnsi" w:hAnsiTheme="majorHAnsi" w:cstheme="majorHAnsi"/>
                <w:color w:val="000000"/>
                <w:sz w:val="20"/>
                <w:szCs w:val="20"/>
              </w:rPr>
            </w:pPr>
            <w:r w:rsidRPr="00593F91">
              <w:t>256.8</w:t>
            </w:r>
          </w:p>
        </w:tc>
        <w:tc>
          <w:tcPr>
            <w:tcW w:w="1170" w:type="dxa"/>
            <w:tcBorders>
              <w:top w:val="nil"/>
              <w:left w:val="nil"/>
              <w:bottom w:val="single" w:sz="4" w:space="0" w:color="auto"/>
              <w:right w:val="single" w:sz="4" w:space="0" w:color="auto"/>
            </w:tcBorders>
            <w:shd w:val="clear" w:color="auto" w:fill="auto"/>
            <w:noWrap/>
            <w:vAlign w:val="center"/>
          </w:tcPr>
          <w:p w14:paraId="4FD8C063" w14:textId="0138D35E" w:rsidR="005F4C8E" w:rsidRPr="00C347BB" w:rsidRDefault="005F4C8E" w:rsidP="008E1F8B">
            <w:pPr>
              <w:spacing w:line="240" w:lineRule="auto"/>
              <w:jc w:val="center"/>
              <w:rPr>
                <w:rFonts w:asciiTheme="majorHAnsi" w:hAnsiTheme="majorHAnsi" w:cstheme="majorHAnsi"/>
                <w:color w:val="000000"/>
                <w:sz w:val="20"/>
                <w:szCs w:val="20"/>
              </w:rPr>
            </w:pPr>
            <w:r w:rsidRPr="00593F91">
              <w:t>339.9</w:t>
            </w:r>
          </w:p>
        </w:tc>
        <w:tc>
          <w:tcPr>
            <w:tcW w:w="1170" w:type="dxa"/>
            <w:tcBorders>
              <w:top w:val="nil"/>
              <w:left w:val="nil"/>
              <w:bottom w:val="single" w:sz="4" w:space="0" w:color="auto"/>
              <w:right w:val="single" w:sz="4" w:space="0" w:color="auto"/>
            </w:tcBorders>
            <w:shd w:val="clear" w:color="auto" w:fill="auto"/>
            <w:noWrap/>
            <w:vAlign w:val="center"/>
          </w:tcPr>
          <w:p w14:paraId="495981A3" w14:textId="434B851C" w:rsidR="005F4C8E" w:rsidRPr="00C347BB" w:rsidRDefault="005F4C8E" w:rsidP="008E1F8B">
            <w:pPr>
              <w:spacing w:line="240" w:lineRule="auto"/>
              <w:jc w:val="center"/>
              <w:rPr>
                <w:rFonts w:asciiTheme="majorHAnsi" w:hAnsiTheme="majorHAnsi" w:cstheme="majorHAnsi"/>
                <w:color w:val="000000"/>
                <w:sz w:val="20"/>
                <w:szCs w:val="20"/>
              </w:rPr>
            </w:pPr>
            <w:r w:rsidRPr="00593F91">
              <w:t>436.5</w:t>
            </w:r>
          </w:p>
        </w:tc>
        <w:tc>
          <w:tcPr>
            <w:tcW w:w="1175" w:type="dxa"/>
            <w:tcBorders>
              <w:top w:val="nil"/>
              <w:left w:val="nil"/>
              <w:bottom w:val="single" w:sz="4" w:space="0" w:color="auto"/>
              <w:right w:val="single" w:sz="4" w:space="0" w:color="auto"/>
            </w:tcBorders>
            <w:shd w:val="clear" w:color="auto" w:fill="auto"/>
            <w:noWrap/>
            <w:vAlign w:val="center"/>
          </w:tcPr>
          <w:p w14:paraId="09CF24BB" w14:textId="4AA58C36" w:rsidR="005F4C8E" w:rsidRPr="00C347BB" w:rsidRDefault="005F4C8E" w:rsidP="008E1F8B">
            <w:pPr>
              <w:spacing w:line="240" w:lineRule="auto"/>
              <w:jc w:val="center"/>
              <w:rPr>
                <w:rFonts w:asciiTheme="majorHAnsi" w:hAnsiTheme="majorHAnsi" w:cstheme="majorHAnsi"/>
                <w:color w:val="000000"/>
                <w:sz w:val="20"/>
                <w:szCs w:val="20"/>
              </w:rPr>
            </w:pPr>
            <w:r w:rsidRPr="00593F91">
              <w:t>592.7</w:t>
            </w:r>
          </w:p>
        </w:tc>
      </w:tr>
      <w:tr w:rsidR="005F4C8E" w:rsidRPr="00C347BB" w14:paraId="75DE5568"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0401EAE3" w14:textId="541C2717" w:rsidR="005F4C8E" w:rsidRPr="00C347BB" w:rsidRDefault="005F4C8E" w:rsidP="008E1F8B">
            <w:pPr>
              <w:spacing w:line="240" w:lineRule="auto"/>
              <w:jc w:val="center"/>
              <w:rPr>
                <w:rFonts w:asciiTheme="majorHAnsi" w:hAnsiTheme="majorHAnsi" w:cstheme="majorHAnsi"/>
                <w:color w:val="000000"/>
                <w:sz w:val="20"/>
                <w:szCs w:val="20"/>
              </w:rPr>
            </w:pPr>
            <w:r w:rsidRPr="00593F91">
              <w:t>27.00%</w:t>
            </w:r>
          </w:p>
        </w:tc>
        <w:tc>
          <w:tcPr>
            <w:tcW w:w="1710" w:type="dxa"/>
            <w:tcBorders>
              <w:top w:val="nil"/>
              <w:left w:val="nil"/>
              <w:bottom w:val="single" w:sz="4" w:space="0" w:color="auto"/>
              <w:right w:val="single" w:sz="4" w:space="0" w:color="auto"/>
            </w:tcBorders>
            <w:shd w:val="clear" w:color="auto" w:fill="auto"/>
            <w:noWrap/>
            <w:vAlign w:val="center"/>
          </w:tcPr>
          <w:p w14:paraId="589CB1B3" w14:textId="4CCFBD53" w:rsidR="005F4C8E" w:rsidRPr="00C347BB" w:rsidRDefault="005F4C8E" w:rsidP="008E1F8B">
            <w:pPr>
              <w:spacing w:line="240" w:lineRule="auto"/>
              <w:jc w:val="center"/>
              <w:rPr>
                <w:rFonts w:asciiTheme="majorHAnsi" w:hAnsiTheme="majorHAnsi" w:cstheme="majorHAnsi"/>
                <w:color w:val="000000"/>
                <w:sz w:val="20"/>
                <w:szCs w:val="20"/>
              </w:rPr>
            </w:pPr>
            <w:r w:rsidRPr="00593F91">
              <w:t>5,328.4</w:t>
            </w:r>
          </w:p>
        </w:tc>
        <w:tc>
          <w:tcPr>
            <w:tcW w:w="1260" w:type="dxa"/>
            <w:tcBorders>
              <w:top w:val="nil"/>
              <w:left w:val="nil"/>
              <w:bottom w:val="single" w:sz="4" w:space="0" w:color="auto"/>
              <w:right w:val="single" w:sz="4" w:space="0" w:color="auto"/>
            </w:tcBorders>
            <w:shd w:val="clear" w:color="auto" w:fill="auto"/>
            <w:noWrap/>
            <w:vAlign w:val="center"/>
          </w:tcPr>
          <w:p w14:paraId="0E59F274" w14:textId="6516495B" w:rsidR="005F4C8E" w:rsidRPr="00C347BB" w:rsidRDefault="005F4C8E" w:rsidP="008E1F8B">
            <w:pPr>
              <w:spacing w:line="240" w:lineRule="auto"/>
              <w:jc w:val="center"/>
              <w:rPr>
                <w:rFonts w:asciiTheme="majorHAnsi" w:hAnsiTheme="majorHAnsi" w:cstheme="majorHAnsi"/>
                <w:color w:val="000000"/>
                <w:sz w:val="20"/>
                <w:szCs w:val="20"/>
              </w:rPr>
            </w:pPr>
            <w:r w:rsidRPr="00593F91">
              <w:t>254.4</w:t>
            </w:r>
          </w:p>
        </w:tc>
        <w:tc>
          <w:tcPr>
            <w:tcW w:w="1170" w:type="dxa"/>
            <w:tcBorders>
              <w:top w:val="nil"/>
              <w:left w:val="nil"/>
              <w:bottom w:val="single" w:sz="4" w:space="0" w:color="auto"/>
              <w:right w:val="single" w:sz="4" w:space="0" w:color="auto"/>
            </w:tcBorders>
            <w:shd w:val="clear" w:color="auto" w:fill="auto"/>
            <w:noWrap/>
            <w:vAlign w:val="center"/>
          </w:tcPr>
          <w:p w14:paraId="2BB6F820" w14:textId="257A1CD9" w:rsidR="005F4C8E" w:rsidRPr="00C347BB" w:rsidRDefault="005F4C8E" w:rsidP="008E1F8B">
            <w:pPr>
              <w:spacing w:line="240" w:lineRule="auto"/>
              <w:jc w:val="center"/>
              <w:rPr>
                <w:rFonts w:asciiTheme="majorHAnsi" w:hAnsiTheme="majorHAnsi" w:cstheme="majorHAnsi"/>
                <w:color w:val="000000"/>
                <w:sz w:val="20"/>
                <w:szCs w:val="20"/>
              </w:rPr>
            </w:pPr>
            <w:r w:rsidRPr="00593F91">
              <w:t>339.4</w:t>
            </w:r>
          </w:p>
        </w:tc>
        <w:tc>
          <w:tcPr>
            <w:tcW w:w="1170" w:type="dxa"/>
            <w:tcBorders>
              <w:top w:val="nil"/>
              <w:left w:val="nil"/>
              <w:bottom w:val="single" w:sz="4" w:space="0" w:color="auto"/>
              <w:right w:val="single" w:sz="4" w:space="0" w:color="auto"/>
            </w:tcBorders>
            <w:shd w:val="clear" w:color="auto" w:fill="auto"/>
            <w:noWrap/>
            <w:vAlign w:val="center"/>
          </w:tcPr>
          <w:p w14:paraId="2559AF01" w14:textId="2B0E1D98" w:rsidR="005F4C8E" w:rsidRPr="00C347BB" w:rsidRDefault="005F4C8E" w:rsidP="008E1F8B">
            <w:pPr>
              <w:spacing w:line="240" w:lineRule="auto"/>
              <w:jc w:val="center"/>
              <w:rPr>
                <w:rFonts w:asciiTheme="majorHAnsi" w:hAnsiTheme="majorHAnsi" w:cstheme="majorHAnsi"/>
                <w:color w:val="000000"/>
                <w:sz w:val="20"/>
                <w:szCs w:val="20"/>
              </w:rPr>
            </w:pPr>
            <w:r w:rsidRPr="00593F91">
              <w:t>433.5</w:t>
            </w:r>
          </w:p>
        </w:tc>
        <w:tc>
          <w:tcPr>
            <w:tcW w:w="1175" w:type="dxa"/>
            <w:tcBorders>
              <w:top w:val="nil"/>
              <w:left w:val="nil"/>
              <w:bottom w:val="single" w:sz="4" w:space="0" w:color="auto"/>
              <w:right w:val="single" w:sz="4" w:space="0" w:color="auto"/>
            </w:tcBorders>
            <w:shd w:val="clear" w:color="auto" w:fill="auto"/>
            <w:noWrap/>
            <w:vAlign w:val="center"/>
          </w:tcPr>
          <w:p w14:paraId="7C9B88DC" w14:textId="1A117967" w:rsidR="005F4C8E" w:rsidRPr="00C347BB" w:rsidRDefault="005F4C8E" w:rsidP="008E1F8B">
            <w:pPr>
              <w:spacing w:line="240" w:lineRule="auto"/>
              <w:jc w:val="center"/>
              <w:rPr>
                <w:rFonts w:asciiTheme="majorHAnsi" w:hAnsiTheme="majorHAnsi" w:cstheme="majorHAnsi"/>
                <w:color w:val="000000"/>
                <w:sz w:val="20"/>
                <w:szCs w:val="20"/>
              </w:rPr>
            </w:pPr>
            <w:r w:rsidRPr="00593F91">
              <w:t>586.5</w:t>
            </w:r>
          </w:p>
        </w:tc>
      </w:tr>
      <w:tr w:rsidR="005F4C8E" w:rsidRPr="00C347BB" w14:paraId="361D724E"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6D7F6FCA" w14:textId="4B0409E0" w:rsidR="005F4C8E" w:rsidRPr="00C347BB" w:rsidRDefault="005F4C8E" w:rsidP="008E1F8B">
            <w:pPr>
              <w:spacing w:line="240" w:lineRule="auto"/>
              <w:jc w:val="center"/>
              <w:rPr>
                <w:rFonts w:asciiTheme="majorHAnsi" w:hAnsiTheme="majorHAnsi" w:cstheme="majorHAnsi"/>
                <w:color w:val="000000"/>
                <w:sz w:val="20"/>
                <w:szCs w:val="20"/>
              </w:rPr>
            </w:pPr>
            <w:r w:rsidRPr="00593F91">
              <w:t>27.25%</w:t>
            </w:r>
          </w:p>
        </w:tc>
        <w:tc>
          <w:tcPr>
            <w:tcW w:w="1710" w:type="dxa"/>
            <w:tcBorders>
              <w:top w:val="nil"/>
              <w:left w:val="nil"/>
              <w:bottom w:val="single" w:sz="4" w:space="0" w:color="auto"/>
              <w:right w:val="single" w:sz="4" w:space="0" w:color="auto"/>
            </w:tcBorders>
            <w:shd w:val="clear" w:color="auto" w:fill="auto"/>
            <w:noWrap/>
            <w:vAlign w:val="center"/>
          </w:tcPr>
          <w:p w14:paraId="4CF07FB5" w14:textId="306EAE9E" w:rsidR="005F4C8E" w:rsidRPr="00C347BB" w:rsidRDefault="005F4C8E" w:rsidP="008E1F8B">
            <w:pPr>
              <w:spacing w:line="240" w:lineRule="auto"/>
              <w:jc w:val="center"/>
              <w:rPr>
                <w:rFonts w:asciiTheme="majorHAnsi" w:hAnsiTheme="majorHAnsi" w:cstheme="majorHAnsi"/>
                <w:color w:val="000000"/>
                <w:sz w:val="20"/>
                <w:szCs w:val="20"/>
              </w:rPr>
            </w:pPr>
            <w:r w:rsidRPr="00593F91">
              <w:t>5,336.4</w:t>
            </w:r>
          </w:p>
        </w:tc>
        <w:tc>
          <w:tcPr>
            <w:tcW w:w="1260" w:type="dxa"/>
            <w:tcBorders>
              <w:top w:val="nil"/>
              <w:left w:val="nil"/>
              <w:bottom w:val="single" w:sz="4" w:space="0" w:color="auto"/>
              <w:right w:val="single" w:sz="4" w:space="0" w:color="auto"/>
            </w:tcBorders>
            <w:shd w:val="clear" w:color="auto" w:fill="auto"/>
            <w:noWrap/>
            <w:vAlign w:val="center"/>
          </w:tcPr>
          <w:p w14:paraId="41602F2D" w14:textId="7196AC47" w:rsidR="005F4C8E" w:rsidRPr="00C347BB" w:rsidRDefault="005F4C8E" w:rsidP="008E1F8B">
            <w:pPr>
              <w:spacing w:line="240" w:lineRule="auto"/>
              <w:jc w:val="center"/>
              <w:rPr>
                <w:rFonts w:asciiTheme="majorHAnsi" w:hAnsiTheme="majorHAnsi" w:cstheme="majorHAnsi"/>
                <w:color w:val="000000"/>
                <w:sz w:val="20"/>
                <w:szCs w:val="20"/>
              </w:rPr>
            </w:pPr>
            <w:r w:rsidRPr="00593F91">
              <w:t>252.2</w:t>
            </w:r>
          </w:p>
        </w:tc>
        <w:tc>
          <w:tcPr>
            <w:tcW w:w="1170" w:type="dxa"/>
            <w:tcBorders>
              <w:top w:val="nil"/>
              <w:left w:val="nil"/>
              <w:bottom w:val="single" w:sz="4" w:space="0" w:color="auto"/>
              <w:right w:val="single" w:sz="4" w:space="0" w:color="auto"/>
            </w:tcBorders>
            <w:shd w:val="clear" w:color="auto" w:fill="auto"/>
            <w:noWrap/>
            <w:vAlign w:val="center"/>
          </w:tcPr>
          <w:p w14:paraId="21FEA4D2" w14:textId="69184371" w:rsidR="005F4C8E" w:rsidRPr="00C347BB" w:rsidRDefault="005F4C8E" w:rsidP="008E1F8B">
            <w:pPr>
              <w:spacing w:line="240" w:lineRule="auto"/>
              <w:jc w:val="center"/>
              <w:rPr>
                <w:rFonts w:asciiTheme="majorHAnsi" w:hAnsiTheme="majorHAnsi" w:cstheme="majorHAnsi"/>
                <w:color w:val="000000"/>
                <w:sz w:val="20"/>
                <w:szCs w:val="20"/>
              </w:rPr>
            </w:pPr>
            <w:r w:rsidRPr="00593F91">
              <w:t>338.9</w:t>
            </w:r>
          </w:p>
        </w:tc>
        <w:tc>
          <w:tcPr>
            <w:tcW w:w="1170" w:type="dxa"/>
            <w:tcBorders>
              <w:top w:val="nil"/>
              <w:left w:val="nil"/>
              <w:bottom w:val="single" w:sz="4" w:space="0" w:color="auto"/>
              <w:right w:val="single" w:sz="4" w:space="0" w:color="auto"/>
            </w:tcBorders>
            <w:shd w:val="clear" w:color="auto" w:fill="auto"/>
            <w:noWrap/>
            <w:vAlign w:val="center"/>
          </w:tcPr>
          <w:p w14:paraId="4105CD1A" w14:textId="51167BBC" w:rsidR="005F4C8E" w:rsidRPr="00C347BB" w:rsidRDefault="005F4C8E" w:rsidP="008E1F8B">
            <w:pPr>
              <w:spacing w:line="240" w:lineRule="auto"/>
              <w:jc w:val="center"/>
              <w:rPr>
                <w:rFonts w:asciiTheme="majorHAnsi" w:hAnsiTheme="majorHAnsi" w:cstheme="majorHAnsi"/>
                <w:color w:val="000000"/>
                <w:sz w:val="20"/>
                <w:szCs w:val="20"/>
              </w:rPr>
            </w:pPr>
            <w:r w:rsidRPr="00593F91">
              <w:t>430.6</w:t>
            </w:r>
          </w:p>
        </w:tc>
        <w:tc>
          <w:tcPr>
            <w:tcW w:w="1175" w:type="dxa"/>
            <w:tcBorders>
              <w:top w:val="nil"/>
              <w:left w:val="nil"/>
              <w:bottom w:val="single" w:sz="4" w:space="0" w:color="auto"/>
              <w:right w:val="single" w:sz="4" w:space="0" w:color="auto"/>
            </w:tcBorders>
            <w:shd w:val="clear" w:color="auto" w:fill="auto"/>
            <w:noWrap/>
            <w:vAlign w:val="center"/>
          </w:tcPr>
          <w:p w14:paraId="169A3CDC" w14:textId="1698254E" w:rsidR="005F4C8E" w:rsidRPr="00C347BB" w:rsidRDefault="005F4C8E" w:rsidP="008E1F8B">
            <w:pPr>
              <w:spacing w:line="240" w:lineRule="auto"/>
              <w:jc w:val="center"/>
              <w:rPr>
                <w:rFonts w:asciiTheme="majorHAnsi" w:hAnsiTheme="majorHAnsi" w:cstheme="majorHAnsi"/>
                <w:color w:val="000000"/>
                <w:sz w:val="20"/>
                <w:szCs w:val="20"/>
              </w:rPr>
            </w:pPr>
            <w:r w:rsidRPr="00593F91">
              <w:t>580.5</w:t>
            </w:r>
          </w:p>
        </w:tc>
      </w:tr>
      <w:tr w:rsidR="005F4C8E" w:rsidRPr="00C347BB" w14:paraId="7B098413"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22B6DE86" w14:textId="408DDE0F" w:rsidR="005F4C8E" w:rsidRPr="00C347BB" w:rsidRDefault="005F4C8E" w:rsidP="008E1F8B">
            <w:pPr>
              <w:spacing w:line="240" w:lineRule="auto"/>
              <w:jc w:val="center"/>
              <w:rPr>
                <w:rFonts w:asciiTheme="majorHAnsi" w:hAnsiTheme="majorHAnsi" w:cstheme="majorHAnsi"/>
                <w:color w:val="000000"/>
                <w:sz w:val="20"/>
                <w:szCs w:val="20"/>
              </w:rPr>
            </w:pPr>
            <w:r w:rsidRPr="00593F91">
              <w:t>27.50%</w:t>
            </w:r>
          </w:p>
        </w:tc>
        <w:tc>
          <w:tcPr>
            <w:tcW w:w="1710" w:type="dxa"/>
            <w:tcBorders>
              <w:top w:val="nil"/>
              <w:left w:val="nil"/>
              <w:bottom w:val="single" w:sz="4" w:space="0" w:color="auto"/>
              <w:right w:val="single" w:sz="4" w:space="0" w:color="auto"/>
            </w:tcBorders>
            <w:shd w:val="clear" w:color="auto" w:fill="auto"/>
            <w:noWrap/>
            <w:vAlign w:val="center"/>
          </w:tcPr>
          <w:p w14:paraId="5C837965" w14:textId="363000C8" w:rsidR="005F4C8E" w:rsidRPr="00C347BB" w:rsidRDefault="005F4C8E" w:rsidP="008E1F8B">
            <w:pPr>
              <w:spacing w:line="240" w:lineRule="auto"/>
              <w:jc w:val="center"/>
              <w:rPr>
                <w:rFonts w:asciiTheme="majorHAnsi" w:hAnsiTheme="majorHAnsi" w:cstheme="majorHAnsi"/>
                <w:color w:val="000000"/>
                <w:sz w:val="20"/>
                <w:szCs w:val="20"/>
              </w:rPr>
            </w:pPr>
            <w:r w:rsidRPr="00593F91">
              <w:t>5,344.7</w:t>
            </w:r>
          </w:p>
        </w:tc>
        <w:tc>
          <w:tcPr>
            <w:tcW w:w="1260" w:type="dxa"/>
            <w:tcBorders>
              <w:top w:val="nil"/>
              <w:left w:val="nil"/>
              <w:bottom w:val="single" w:sz="4" w:space="0" w:color="auto"/>
              <w:right w:val="single" w:sz="4" w:space="0" w:color="auto"/>
            </w:tcBorders>
            <w:shd w:val="clear" w:color="auto" w:fill="auto"/>
            <w:noWrap/>
            <w:vAlign w:val="center"/>
          </w:tcPr>
          <w:p w14:paraId="3AD4F2CE" w14:textId="4CDE2E19" w:rsidR="005F4C8E" w:rsidRPr="00C347BB" w:rsidRDefault="005F4C8E" w:rsidP="008E1F8B">
            <w:pPr>
              <w:spacing w:line="240" w:lineRule="auto"/>
              <w:jc w:val="center"/>
              <w:rPr>
                <w:rFonts w:asciiTheme="majorHAnsi" w:hAnsiTheme="majorHAnsi" w:cstheme="majorHAnsi"/>
                <w:color w:val="000000"/>
                <w:sz w:val="20"/>
                <w:szCs w:val="20"/>
              </w:rPr>
            </w:pPr>
            <w:r w:rsidRPr="00593F91">
              <w:t>250.1</w:t>
            </w:r>
          </w:p>
        </w:tc>
        <w:tc>
          <w:tcPr>
            <w:tcW w:w="1170" w:type="dxa"/>
            <w:tcBorders>
              <w:top w:val="nil"/>
              <w:left w:val="nil"/>
              <w:bottom w:val="single" w:sz="4" w:space="0" w:color="auto"/>
              <w:right w:val="single" w:sz="4" w:space="0" w:color="auto"/>
            </w:tcBorders>
            <w:shd w:val="clear" w:color="auto" w:fill="auto"/>
            <w:noWrap/>
            <w:vAlign w:val="center"/>
          </w:tcPr>
          <w:p w14:paraId="16739DE2" w14:textId="044C8DA2" w:rsidR="005F4C8E" w:rsidRPr="00C347BB" w:rsidRDefault="005F4C8E" w:rsidP="008E1F8B">
            <w:pPr>
              <w:spacing w:line="240" w:lineRule="auto"/>
              <w:jc w:val="center"/>
              <w:rPr>
                <w:rFonts w:asciiTheme="majorHAnsi" w:hAnsiTheme="majorHAnsi" w:cstheme="majorHAnsi"/>
                <w:color w:val="000000"/>
                <w:sz w:val="20"/>
                <w:szCs w:val="20"/>
              </w:rPr>
            </w:pPr>
            <w:r w:rsidRPr="00593F91">
              <w:t>338.5</w:t>
            </w:r>
          </w:p>
        </w:tc>
        <w:tc>
          <w:tcPr>
            <w:tcW w:w="1170" w:type="dxa"/>
            <w:tcBorders>
              <w:top w:val="nil"/>
              <w:left w:val="nil"/>
              <w:bottom w:val="single" w:sz="4" w:space="0" w:color="auto"/>
              <w:right w:val="single" w:sz="4" w:space="0" w:color="auto"/>
            </w:tcBorders>
            <w:shd w:val="clear" w:color="auto" w:fill="auto"/>
            <w:noWrap/>
            <w:vAlign w:val="center"/>
          </w:tcPr>
          <w:p w14:paraId="6C7CA0CB" w14:textId="09906972" w:rsidR="005F4C8E" w:rsidRPr="00C347BB" w:rsidRDefault="005F4C8E" w:rsidP="008E1F8B">
            <w:pPr>
              <w:spacing w:line="240" w:lineRule="auto"/>
              <w:jc w:val="center"/>
              <w:rPr>
                <w:rFonts w:asciiTheme="majorHAnsi" w:hAnsiTheme="majorHAnsi" w:cstheme="majorHAnsi"/>
                <w:color w:val="000000"/>
                <w:sz w:val="20"/>
                <w:szCs w:val="20"/>
              </w:rPr>
            </w:pPr>
            <w:r w:rsidRPr="00593F91">
              <w:t>427.9</w:t>
            </w:r>
          </w:p>
        </w:tc>
        <w:tc>
          <w:tcPr>
            <w:tcW w:w="1175" w:type="dxa"/>
            <w:tcBorders>
              <w:top w:val="nil"/>
              <w:left w:val="nil"/>
              <w:bottom w:val="single" w:sz="4" w:space="0" w:color="auto"/>
              <w:right w:val="single" w:sz="4" w:space="0" w:color="auto"/>
            </w:tcBorders>
            <w:shd w:val="clear" w:color="auto" w:fill="auto"/>
            <w:noWrap/>
            <w:vAlign w:val="center"/>
          </w:tcPr>
          <w:p w14:paraId="043186B5" w14:textId="566A4314" w:rsidR="005F4C8E" w:rsidRPr="00C347BB" w:rsidRDefault="005F4C8E" w:rsidP="008E1F8B">
            <w:pPr>
              <w:spacing w:line="240" w:lineRule="auto"/>
              <w:jc w:val="center"/>
              <w:rPr>
                <w:rFonts w:asciiTheme="majorHAnsi" w:hAnsiTheme="majorHAnsi" w:cstheme="majorHAnsi"/>
                <w:color w:val="000000"/>
                <w:sz w:val="20"/>
                <w:szCs w:val="20"/>
              </w:rPr>
            </w:pPr>
            <w:r w:rsidRPr="00593F91">
              <w:t>574.8</w:t>
            </w:r>
          </w:p>
        </w:tc>
      </w:tr>
      <w:tr w:rsidR="005F4C8E" w:rsidRPr="00C347BB" w14:paraId="03B31138"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371CC131" w14:textId="15781BC4" w:rsidR="005F4C8E" w:rsidRPr="00C347BB" w:rsidRDefault="005F4C8E" w:rsidP="008E1F8B">
            <w:pPr>
              <w:spacing w:line="240" w:lineRule="auto"/>
              <w:jc w:val="center"/>
              <w:rPr>
                <w:rFonts w:asciiTheme="majorHAnsi" w:hAnsiTheme="majorHAnsi" w:cstheme="majorHAnsi"/>
                <w:color w:val="000000"/>
                <w:sz w:val="20"/>
                <w:szCs w:val="20"/>
              </w:rPr>
            </w:pPr>
            <w:r w:rsidRPr="00593F91">
              <w:t>27.75%</w:t>
            </w:r>
          </w:p>
        </w:tc>
        <w:tc>
          <w:tcPr>
            <w:tcW w:w="1710" w:type="dxa"/>
            <w:tcBorders>
              <w:top w:val="nil"/>
              <w:left w:val="nil"/>
              <w:bottom w:val="single" w:sz="4" w:space="0" w:color="auto"/>
              <w:right w:val="single" w:sz="4" w:space="0" w:color="auto"/>
            </w:tcBorders>
            <w:shd w:val="clear" w:color="auto" w:fill="auto"/>
            <w:noWrap/>
            <w:vAlign w:val="center"/>
          </w:tcPr>
          <w:p w14:paraId="652C4B0B" w14:textId="1BD91DC7" w:rsidR="005F4C8E" w:rsidRPr="00C347BB" w:rsidRDefault="005F4C8E" w:rsidP="008E1F8B">
            <w:pPr>
              <w:spacing w:line="240" w:lineRule="auto"/>
              <w:jc w:val="center"/>
              <w:rPr>
                <w:rFonts w:asciiTheme="majorHAnsi" w:hAnsiTheme="majorHAnsi" w:cstheme="majorHAnsi"/>
                <w:color w:val="000000"/>
                <w:sz w:val="20"/>
                <w:szCs w:val="20"/>
              </w:rPr>
            </w:pPr>
            <w:r w:rsidRPr="00593F91">
              <w:t>5,353.1</w:t>
            </w:r>
          </w:p>
        </w:tc>
        <w:tc>
          <w:tcPr>
            <w:tcW w:w="1260" w:type="dxa"/>
            <w:tcBorders>
              <w:top w:val="nil"/>
              <w:left w:val="nil"/>
              <w:bottom w:val="single" w:sz="4" w:space="0" w:color="auto"/>
              <w:right w:val="single" w:sz="4" w:space="0" w:color="auto"/>
            </w:tcBorders>
            <w:shd w:val="clear" w:color="auto" w:fill="auto"/>
            <w:noWrap/>
            <w:vAlign w:val="center"/>
          </w:tcPr>
          <w:p w14:paraId="6F47C174" w14:textId="17F8B92E" w:rsidR="005F4C8E" w:rsidRPr="00C347BB" w:rsidRDefault="005F4C8E" w:rsidP="008E1F8B">
            <w:pPr>
              <w:spacing w:line="240" w:lineRule="auto"/>
              <w:jc w:val="center"/>
              <w:rPr>
                <w:rFonts w:asciiTheme="majorHAnsi" w:hAnsiTheme="majorHAnsi" w:cstheme="majorHAnsi"/>
                <w:color w:val="000000"/>
                <w:sz w:val="20"/>
                <w:szCs w:val="20"/>
              </w:rPr>
            </w:pPr>
            <w:r w:rsidRPr="00593F91">
              <w:t>248.2</w:t>
            </w:r>
          </w:p>
        </w:tc>
        <w:tc>
          <w:tcPr>
            <w:tcW w:w="1170" w:type="dxa"/>
            <w:tcBorders>
              <w:top w:val="nil"/>
              <w:left w:val="nil"/>
              <w:bottom w:val="single" w:sz="4" w:space="0" w:color="auto"/>
              <w:right w:val="single" w:sz="4" w:space="0" w:color="auto"/>
            </w:tcBorders>
            <w:shd w:val="clear" w:color="auto" w:fill="auto"/>
            <w:noWrap/>
            <w:vAlign w:val="center"/>
          </w:tcPr>
          <w:p w14:paraId="2ED584E4" w14:textId="4E7EDEF5" w:rsidR="005F4C8E" w:rsidRPr="00C347BB" w:rsidRDefault="005F4C8E" w:rsidP="008E1F8B">
            <w:pPr>
              <w:spacing w:line="240" w:lineRule="auto"/>
              <w:jc w:val="center"/>
              <w:rPr>
                <w:rFonts w:asciiTheme="majorHAnsi" w:hAnsiTheme="majorHAnsi" w:cstheme="majorHAnsi"/>
                <w:color w:val="000000"/>
                <w:sz w:val="20"/>
                <w:szCs w:val="20"/>
              </w:rPr>
            </w:pPr>
            <w:r w:rsidRPr="00593F91">
              <w:t>338.1</w:t>
            </w:r>
          </w:p>
        </w:tc>
        <w:tc>
          <w:tcPr>
            <w:tcW w:w="1170" w:type="dxa"/>
            <w:tcBorders>
              <w:top w:val="nil"/>
              <w:left w:val="nil"/>
              <w:bottom w:val="single" w:sz="4" w:space="0" w:color="auto"/>
              <w:right w:val="single" w:sz="4" w:space="0" w:color="auto"/>
            </w:tcBorders>
            <w:shd w:val="clear" w:color="auto" w:fill="auto"/>
            <w:noWrap/>
            <w:vAlign w:val="center"/>
          </w:tcPr>
          <w:p w14:paraId="5057DB25" w14:textId="44479732" w:rsidR="005F4C8E" w:rsidRPr="00C347BB" w:rsidRDefault="005F4C8E" w:rsidP="008E1F8B">
            <w:pPr>
              <w:spacing w:line="240" w:lineRule="auto"/>
              <w:jc w:val="center"/>
              <w:rPr>
                <w:rFonts w:asciiTheme="majorHAnsi" w:hAnsiTheme="majorHAnsi" w:cstheme="majorHAnsi"/>
                <w:color w:val="000000"/>
                <w:sz w:val="20"/>
                <w:szCs w:val="20"/>
              </w:rPr>
            </w:pPr>
            <w:r w:rsidRPr="00593F91">
              <w:t>425.3</w:t>
            </w:r>
          </w:p>
        </w:tc>
        <w:tc>
          <w:tcPr>
            <w:tcW w:w="1175" w:type="dxa"/>
            <w:tcBorders>
              <w:top w:val="nil"/>
              <w:left w:val="nil"/>
              <w:bottom w:val="single" w:sz="4" w:space="0" w:color="auto"/>
              <w:right w:val="single" w:sz="4" w:space="0" w:color="auto"/>
            </w:tcBorders>
            <w:shd w:val="clear" w:color="auto" w:fill="auto"/>
            <w:noWrap/>
            <w:vAlign w:val="center"/>
          </w:tcPr>
          <w:p w14:paraId="557EFCBF" w14:textId="135D1FA1" w:rsidR="005F4C8E" w:rsidRPr="00C347BB" w:rsidRDefault="005F4C8E" w:rsidP="008E1F8B">
            <w:pPr>
              <w:spacing w:line="240" w:lineRule="auto"/>
              <w:jc w:val="center"/>
              <w:rPr>
                <w:rFonts w:asciiTheme="majorHAnsi" w:hAnsiTheme="majorHAnsi" w:cstheme="majorHAnsi"/>
                <w:color w:val="000000"/>
                <w:sz w:val="20"/>
                <w:szCs w:val="20"/>
              </w:rPr>
            </w:pPr>
            <w:r w:rsidRPr="00593F91">
              <w:t>569.3</w:t>
            </w:r>
          </w:p>
        </w:tc>
      </w:tr>
      <w:tr w:rsidR="005F4C8E" w:rsidRPr="00C347BB" w14:paraId="370894DC"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07A83F0E" w14:textId="043B0F87" w:rsidR="005F4C8E" w:rsidRPr="00C347BB" w:rsidRDefault="005F4C8E" w:rsidP="008E1F8B">
            <w:pPr>
              <w:spacing w:line="240" w:lineRule="auto"/>
              <w:jc w:val="center"/>
              <w:rPr>
                <w:rFonts w:asciiTheme="majorHAnsi" w:hAnsiTheme="majorHAnsi" w:cstheme="majorHAnsi"/>
                <w:color w:val="000000"/>
                <w:sz w:val="20"/>
                <w:szCs w:val="20"/>
              </w:rPr>
            </w:pPr>
            <w:r w:rsidRPr="00593F91">
              <w:t>28.00%</w:t>
            </w:r>
          </w:p>
        </w:tc>
        <w:tc>
          <w:tcPr>
            <w:tcW w:w="1710" w:type="dxa"/>
            <w:tcBorders>
              <w:top w:val="nil"/>
              <w:left w:val="nil"/>
              <w:bottom w:val="single" w:sz="4" w:space="0" w:color="auto"/>
              <w:right w:val="single" w:sz="4" w:space="0" w:color="auto"/>
            </w:tcBorders>
            <w:shd w:val="clear" w:color="auto" w:fill="auto"/>
            <w:noWrap/>
            <w:vAlign w:val="center"/>
          </w:tcPr>
          <w:p w14:paraId="5C87A7EB" w14:textId="53897D25" w:rsidR="005F4C8E" w:rsidRPr="00C347BB" w:rsidRDefault="005F4C8E" w:rsidP="008E1F8B">
            <w:pPr>
              <w:spacing w:line="240" w:lineRule="auto"/>
              <w:jc w:val="center"/>
              <w:rPr>
                <w:rFonts w:asciiTheme="majorHAnsi" w:hAnsiTheme="majorHAnsi" w:cstheme="majorHAnsi"/>
                <w:color w:val="000000"/>
                <w:sz w:val="20"/>
                <w:szCs w:val="20"/>
              </w:rPr>
            </w:pPr>
            <w:r w:rsidRPr="00593F91">
              <w:t>5,361.8</w:t>
            </w:r>
          </w:p>
        </w:tc>
        <w:tc>
          <w:tcPr>
            <w:tcW w:w="1260" w:type="dxa"/>
            <w:tcBorders>
              <w:top w:val="nil"/>
              <w:left w:val="nil"/>
              <w:bottom w:val="single" w:sz="4" w:space="0" w:color="auto"/>
              <w:right w:val="single" w:sz="4" w:space="0" w:color="auto"/>
            </w:tcBorders>
            <w:shd w:val="clear" w:color="auto" w:fill="auto"/>
            <w:noWrap/>
            <w:vAlign w:val="center"/>
          </w:tcPr>
          <w:p w14:paraId="5B41C62D" w14:textId="06203BEB" w:rsidR="005F4C8E" w:rsidRPr="00C347BB" w:rsidRDefault="005F4C8E" w:rsidP="008E1F8B">
            <w:pPr>
              <w:spacing w:line="240" w:lineRule="auto"/>
              <w:jc w:val="center"/>
              <w:rPr>
                <w:rFonts w:asciiTheme="majorHAnsi" w:hAnsiTheme="majorHAnsi" w:cstheme="majorHAnsi"/>
                <w:color w:val="000000"/>
                <w:sz w:val="20"/>
                <w:szCs w:val="20"/>
              </w:rPr>
            </w:pPr>
            <w:r w:rsidRPr="00593F91">
              <w:t>246.3</w:t>
            </w:r>
          </w:p>
        </w:tc>
        <w:tc>
          <w:tcPr>
            <w:tcW w:w="1170" w:type="dxa"/>
            <w:tcBorders>
              <w:top w:val="nil"/>
              <w:left w:val="nil"/>
              <w:bottom w:val="single" w:sz="4" w:space="0" w:color="auto"/>
              <w:right w:val="single" w:sz="4" w:space="0" w:color="auto"/>
            </w:tcBorders>
            <w:shd w:val="clear" w:color="auto" w:fill="auto"/>
            <w:noWrap/>
            <w:vAlign w:val="center"/>
          </w:tcPr>
          <w:p w14:paraId="055C8418" w14:textId="3CB3F640" w:rsidR="005F4C8E" w:rsidRPr="00C347BB" w:rsidRDefault="005F4C8E" w:rsidP="008E1F8B">
            <w:pPr>
              <w:spacing w:line="240" w:lineRule="auto"/>
              <w:jc w:val="center"/>
              <w:rPr>
                <w:rFonts w:asciiTheme="majorHAnsi" w:hAnsiTheme="majorHAnsi" w:cstheme="majorHAnsi"/>
                <w:color w:val="000000"/>
                <w:sz w:val="20"/>
                <w:szCs w:val="20"/>
              </w:rPr>
            </w:pPr>
            <w:r w:rsidRPr="00593F91">
              <w:t>337.5</w:t>
            </w:r>
          </w:p>
        </w:tc>
        <w:tc>
          <w:tcPr>
            <w:tcW w:w="1170" w:type="dxa"/>
            <w:tcBorders>
              <w:top w:val="nil"/>
              <w:left w:val="nil"/>
              <w:bottom w:val="single" w:sz="4" w:space="0" w:color="auto"/>
              <w:right w:val="single" w:sz="4" w:space="0" w:color="auto"/>
            </w:tcBorders>
            <w:shd w:val="clear" w:color="auto" w:fill="auto"/>
            <w:noWrap/>
            <w:vAlign w:val="center"/>
          </w:tcPr>
          <w:p w14:paraId="494434BB" w14:textId="58D5E0C8" w:rsidR="005F4C8E" w:rsidRPr="00C347BB" w:rsidRDefault="005F4C8E" w:rsidP="008E1F8B">
            <w:pPr>
              <w:spacing w:line="240" w:lineRule="auto"/>
              <w:jc w:val="center"/>
              <w:rPr>
                <w:rFonts w:asciiTheme="majorHAnsi" w:hAnsiTheme="majorHAnsi" w:cstheme="majorHAnsi"/>
                <w:color w:val="000000"/>
                <w:sz w:val="20"/>
                <w:szCs w:val="20"/>
              </w:rPr>
            </w:pPr>
            <w:r w:rsidRPr="00593F91">
              <w:t>422.7</w:t>
            </w:r>
          </w:p>
        </w:tc>
        <w:tc>
          <w:tcPr>
            <w:tcW w:w="1175" w:type="dxa"/>
            <w:tcBorders>
              <w:top w:val="nil"/>
              <w:left w:val="nil"/>
              <w:bottom w:val="single" w:sz="4" w:space="0" w:color="auto"/>
              <w:right w:val="single" w:sz="4" w:space="0" w:color="auto"/>
            </w:tcBorders>
            <w:shd w:val="clear" w:color="auto" w:fill="auto"/>
            <w:noWrap/>
            <w:vAlign w:val="center"/>
          </w:tcPr>
          <w:p w14:paraId="58A7C39F" w14:textId="1E1821ED" w:rsidR="005F4C8E" w:rsidRPr="00C347BB" w:rsidRDefault="005F4C8E" w:rsidP="008E1F8B">
            <w:pPr>
              <w:spacing w:line="240" w:lineRule="auto"/>
              <w:jc w:val="center"/>
              <w:rPr>
                <w:rFonts w:asciiTheme="majorHAnsi" w:hAnsiTheme="majorHAnsi" w:cstheme="majorHAnsi"/>
                <w:color w:val="000000"/>
                <w:sz w:val="20"/>
                <w:szCs w:val="20"/>
              </w:rPr>
            </w:pPr>
            <w:r w:rsidRPr="00593F91">
              <w:t>563.9</w:t>
            </w:r>
          </w:p>
        </w:tc>
      </w:tr>
      <w:tr w:rsidR="005F4C8E" w:rsidRPr="00C347BB" w14:paraId="15D8285B"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5F439D8D" w14:textId="38F98535" w:rsidR="005F4C8E" w:rsidRPr="00C347BB" w:rsidRDefault="005F4C8E" w:rsidP="008E1F8B">
            <w:pPr>
              <w:spacing w:line="240" w:lineRule="auto"/>
              <w:jc w:val="center"/>
              <w:rPr>
                <w:rFonts w:asciiTheme="majorHAnsi" w:hAnsiTheme="majorHAnsi" w:cstheme="majorHAnsi"/>
                <w:color w:val="000000"/>
                <w:sz w:val="20"/>
                <w:szCs w:val="20"/>
              </w:rPr>
            </w:pPr>
            <w:r w:rsidRPr="00593F91">
              <w:t>28.25%</w:t>
            </w:r>
          </w:p>
        </w:tc>
        <w:tc>
          <w:tcPr>
            <w:tcW w:w="1710" w:type="dxa"/>
            <w:tcBorders>
              <w:top w:val="nil"/>
              <w:left w:val="nil"/>
              <w:bottom w:val="single" w:sz="4" w:space="0" w:color="auto"/>
              <w:right w:val="single" w:sz="4" w:space="0" w:color="auto"/>
            </w:tcBorders>
            <w:shd w:val="clear" w:color="auto" w:fill="auto"/>
            <w:noWrap/>
            <w:vAlign w:val="center"/>
          </w:tcPr>
          <w:p w14:paraId="40001E10" w14:textId="3A4B1331" w:rsidR="005F4C8E" w:rsidRPr="00C347BB" w:rsidRDefault="005F4C8E" w:rsidP="008E1F8B">
            <w:pPr>
              <w:spacing w:line="240" w:lineRule="auto"/>
              <w:jc w:val="center"/>
              <w:rPr>
                <w:rFonts w:asciiTheme="majorHAnsi" w:hAnsiTheme="majorHAnsi" w:cstheme="majorHAnsi"/>
                <w:color w:val="000000"/>
                <w:sz w:val="20"/>
                <w:szCs w:val="20"/>
              </w:rPr>
            </w:pPr>
            <w:r w:rsidRPr="00593F91">
              <w:t>5,370.7</w:t>
            </w:r>
          </w:p>
        </w:tc>
        <w:tc>
          <w:tcPr>
            <w:tcW w:w="1260" w:type="dxa"/>
            <w:tcBorders>
              <w:top w:val="nil"/>
              <w:left w:val="nil"/>
              <w:bottom w:val="single" w:sz="4" w:space="0" w:color="auto"/>
              <w:right w:val="single" w:sz="4" w:space="0" w:color="auto"/>
            </w:tcBorders>
            <w:shd w:val="clear" w:color="auto" w:fill="auto"/>
            <w:noWrap/>
            <w:vAlign w:val="center"/>
          </w:tcPr>
          <w:p w14:paraId="5F8E1E9B" w14:textId="4E896AF5" w:rsidR="005F4C8E" w:rsidRPr="00C347BB" w:rsidRDefault="005F4C8E" w:rsidP="008E1F8B">
            <w:pPr>
              <w:spacing w:line="240" w:lineRule="auto"/>
              <w:jc w:val="center"/>
              <w:rPr>
                <w:rFonts w:asciiTheme="majorHAnsi" w:hAnsiTheme="majorHAnsi" w:cstheme="majorHAnsi"/>
                <w:color w:val="000000"/>
                <w:sz w:val="20"/>
                <w:szCs w:val="20"/>
              </w:rPr>
            </w:pPr>
            <w:r w:rsidRPr="00593F91">
              <w:t>244.6</w:t>
            </w:r>
          </w:p>
        </w:tc>
        <w:tc>
          <w:tcPr>
            <w:tcW w:w="1170" w:type="dxa"/>
            <w:tcBorders>
              <w:top w:val="nil"/>
              <w:left w:val="nil"/>
              <w:bottom w:val="single" w:sz="4" w:space="0" w:color="auto"/>
              <w:right w:val="single" w:sz="4" w:space="0" w:color="auto"/>
            </w:tcBorders>
            <w:shd w:val="clear" w:color="auto" w:fill="auto"/>
            <w:noWrap/>
            <w:vAlign w:val="center"/>
          </w:tcPr>
          <w:p w14:paraId="6A39157F" w14:textId="370968FD" w:rsidR="005F4C8E" w:rsidRPr="00C347BB" w:rsidRDefault="005F4C8E" w:rsidP="008E1F8B">
            <w:pPr>
              <w:spacing w:line="240" w:lineRule="auto"/>
              <w:jc w:val="center"/>
              <w:rPr>
                <w:rFonts w:asciiTheme="majorHAnsi" w:hAnsiTheme="majorHAnsi" w:cstheme="majorHAnsi"/>
                <w:color w:val="000000"/>
                <w:sz w:val="20"/>
                <w:szCs w:val="20"/>
              </w:rPr>
            </w:pPr>
            <w:r w:rsidRPr="00593F91">
              <w:t>336.9</w:t>
            </w:r>
          </w:p>
        </w:tc>
        <w:tc>
          <w:tcPr>
            <w:tcW w:w="1170" w:type="dxa"/>
            <w:tcBorders>
              <w:top w:val="nil"/>
              <w:left w:val="nil"/>
              <w:bottom w:val="single" w:sz="4" w:space="0" w:color="auto"/>
              <w:right w:val="single" w:sz="4" w:space="0" w:color="auto"/>
            </w:tcBorders>
            <w:shd w:val="clear" w:color="auto" w:fill="auto"/>
            <w:noWrap/>
            <w:vAlign w:val="center"/>
          </w:tcPr>
          <w:p w14:paraId="2AFA8646" w14:textId="42F3F63C" w:rsidR="005F4C8E" w:rsidRPr="00C347BB" w:rsidRDefault="005F4C8E" w:rsidP="008E1F8B">
            <w:pPr>
              <w:spacing w:line="240" w:lineRule="auto"/>
              <w:jc w:val="center"/>
              <w:rPr>
                <w:rFonts w:asciiTheme="majorHAnsi" w:hAnsiTheme="majorHAnsi" w:cstheme="majorHAnsi"/>
                <w:color w:val="000000"/>
                <w:sz w:val="20"/>
                <w:szCs w:val="20"/>
              </w:rPr>
            </w:pPr>
            <w:r w:rsidRPr="00593F91">
              <w:t>420.3</w:t>
            </w:r>
          </w:p>
        </w:tc>
        <w:tc>
          <w:tcPr>
            <w:tcW w:w="1175" w:type="dxa"/>
            <w:tcBorders>
              <w:top w:val="nil"/>
              <w:left w:val="nil"/>
              <w:bottom w:val="single" w:sz="4" w:space="0" w:color="auto"/>
              <w:right w:val="single" w:sz="4" w:space="0" w:color="auto"/>
            </w:tcBorders>
            <w:shd w:val="clear" w:color="auto" w:fill="auto"/>
            <w:noWrap/>
            <w:vAlign w:val="center"/>
          </w:tcPr>
          <w:p w14:paraId="67FDFCCD" w14:textId="6A89E478" w:rsidR="005F4C8E" w:rsidRPr="00C347BB" w:rsidRDefault="005F4C8E" w:rsidP="008E1F8B">
            <w:pPr>
              <w:spacing w:line="240" w:lineRule="auto"/>
              <w:jc w:val="center"/>
              <w:rPr>
                <w:rFonts w:asciiTheme="majorHAnsi" w:hAnsiTheme="majorHAnsi" w:cstheme="majorHAnsi"/>
                <w:color w:val="000000"/>
                <w:sz w:val="20"/>
                <w:szCs w:val="20"/>
              </w:rPr>
            </w:pPr>
            <w:r w:rsidRPr="00593F91">
              <w:t>558.5</w:t>
            </w:r>
          </w:p>
        </w:tc>
      </w:tr>
      <w:tr w:rsidR="005F4C8E" w:rsidRPr="00C347BB" w14:paraId="1ED27E12"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2090E368" w14:textId="19C30AC6" w:rsidR="005F4C8E" w:rsidRPr="00C347BB" w:rsidRDefault="005F4C8E" w:rsidP="008E1F8B">
            <w:pPr>
              <w:spacing w:line="240" w:lineRule="auto"/>
              <w:jc w:val="center"/>
              <w:rPr>
                <w:rFonts w:asciiTheme="majorHAnsi" w:hAnsiTheme="majorHAnsi" w:cstheme="majorHAnsi"/>
                <w:color w:val="000000"/>
                <w:sz w:val="20"/>
                <w:szCs w:val="20"/>
              </w:rPr>
            </w:pPr>
            <w:r w:rsidRPr="00593F91">
              <w:t>28.50%</w:t>
            </w:r>
          </w:p>
        </w:tc>
        <w:tc>
          <w:tcPr>
            <w:tcW w:w="1710" w:type="dxa"/>
            <w:tcBorders>
              <w:top w:val="nil"/>
              <w:left w:val="nil"/>
              <w:bottom w:val="single" w:sz="4" w:space="0" w:color="auto"/>
              <w:right w:val="single" w:sz="4" w:space="0" w:color="auto"/>
            </w:tcBorders>
            <w:shd w:val="clear" w:color="auto" w:fill="auto"/>
            <w:noWrap/>
            <w:vAlign w:val="center"/>
          </w:tcPr>
          <w:p w14:paraId="7170D708" w14:textId="0CDCA150" w:rsidR="005F4C8E" w:rsidRPr="00C347BB" w:rsidRDefault="005F4C8E" w:rsidP="008E1F8B">
            <w:pPr>
              <w:spacing w:line="240" w:lineRule="auto"/>
              <w:jc w:val="center"/>
              <w:rPr>
                <w:rFonts w:asciiTheme="majorHAnsi" w:hAnsiTheme="majorHAnsi" w:cstheme="majorHAnsi"/>
                <w:color w:val="000000"/>
                <w:sz w:val="20"/>
                <w:szCs w:val="20"/>
              </w:rPr>
            </w:pPr>
            <w:r w:rsidRPr="00593F91">
              <w:t>5,379.7</w:t>
            </w:r>
          </w:p>
        </w:tc>
        <w:tc>
          <w:tcPr>
            <w:tcW w:w="1260" w:type="dxa"/>
            <w:tcBorders>
              <w:top w:val="nil"/>
              <w:left w:val="nil"/>
              <w:bottom w:val="single" w:sz="4" w:space="0" w:color="auto"/>
              <w:right w:val="single" w:sz="4" w:space="0" w:color="auto"/>
            </w:tcBorders>
            <w:shd w:val="clear" w:color="auto" w:fill="auto"/>
            <w:noWrap/>
            <w:vAlign w:val="center"/>
          </w:tcPr>
          <w:p w14:paraId="10F64E56" w14:textId="3A6780C0" w:rsidR="005F4C8E" w:rsidRPr="00C347BB" w:rsidRDefault="005F4C8E" w:rsidP="008E1F8B">
            <w:pPr>
              <w:spacing w:line="240" w:lineRule="auto"/>
              <w:jc w:val="center"/>
              <w:rPr>
                <w:rFonts w:asciiTheme="majorHAnsi" w:hAnsiTheme="majorHAnsi" w:cstheme="majorHAnsi"/>
                <w:color w:val="000000"/>
                <w:sz w:val="20"/>
                <w:szCs w:val="20"/>
              </w:rPr>
            </w:pPr>
            <w:r w:rsidRPr="00593F91">
              <w:t>242.9</w:t>
            </w:r>
          </w:p>
        </w:tc>
        <w:tc>
          <w:tcPr>
            <w:tcW w:w="1170" w:type="dxa"/>
            <w:tcBorders>
              <w:top w:val="nil"/>
              <w:left w:val="nil"/>
              <w:bottom w:val="single" w:sz="4" w:space="0" w:color="auto"/>
              <w:right w:val="single" w:sz="4" w:space="0" w:color="auto"/>
            </w:tcBorders>
            <w:shd w:val="clear" w:color="auto" w:fill="auto"/>
            <w:noWrap/>
            <w:vAlign w:val="center"/>
          </w:tcPr>
          <w:p w14:paraId="5427F99B" w14:textId="61F00BF1" w:rsidR="005F4C8E" w:rsidRPr="00C347BB" w:rsidRDefault="005F4C8E" w:rsidP="008E1F8B">
            <w:pPr>
              <w:spacing w:line="240" w:lineRule="auto"/>
              <w:jc w:val="center"/>
              <w:rPr>
                <w:rFonts w:asciiTheme="majorHAnsi" w:hAnsiTheme="majorHAnsi" w:cstheme="majorHAnsi"/>
                <w:color w:val="000000"/>
                <w:sz w:val="20"/>
                <w:szCs w:val="20"/>
              </w:rPr>
            </w:pPr>
            <w:r w:rsidRPr="00593F91">
              <w:t>336.0</w:t>
            </w:r>
          </w:p>
        </w:tc>
        <w:tc>
          <w:tcPr>
            <w:tcW w:w="1170" w:type="dxa"/>
            <w:tcBorders>
              <w:top w:val="nil"/>
              <w:left w:val="nil"/>
              <w:bottom w:val="single" w:sz="4" w:space="0" w:color="auto"/>
              <w:right w:val="single" w:sz="4" w:space="0" w:color="auto"/>
            </w:tcBorders>
            <w:shd w:val="clear" w:color="auto" w:fill="auto"/>
            <w:noWrap/>
            <w:vAlign w:val="center"/>
          </w:tcPr>
          <w:p w14:paraId="1C9F8A46" w14:textId="15F8AB8B" w:rsidR="005F4C8E" w:rsidRPr="00C347BB" w:rsidRDefault="005F4C8E" w:rsidP="008E1F8B">
            <w:pPr>
              <w:spacing w:line="240" w:lineRule="auto"/>
              <w:jc w:val="center"/>
              <w:rPr>
                <w:rFonts w:asciiTheme="majorHAnsi" w:hAnsiTheme="majorHAnsi" w:cstheme="majorHAnsi"/>
                <w:color w:val="000000"/>
                <w:sz w:val="20"/>
                <w:szCs w:val="20"/>
              </w:rPr>
            </w:pPr>
            <w:r w:rsidRPr="00593F91">
              <w:t>418.0</w:t>
            </w:r>
          </w:p>
        </w:tc>
        <w:tc>
          <w:tcPr>
            <w:tcW w:w="1175" w:type="dxa"/>
            <w:tcBorders>
              <w:top w:val="nil"/>
              <w:left w:val="nil"/>
              <w:bottom w:val="single" w:sz="4" w:space="0" w:color="auto"/>
              <w:right w:val="single" w:sz="4" w:space="0" w:color="auto"/>
            </w:tcBorders>
            <w:shd w:val="clear" w:color="auto" w:fill="auto"/>
            <w:noWrap/>
            <w:vAlign w:val="center"/>
          </w:tcPr>
          <w:p w14:paraId="2F88668A" w14:textId="5C0CCE72" w:rsidR="005F4C8E" w:rsidRPr="00C347BB" w:rsidRDefault="005F4C8E" w:rsidP="008E1F8B">
            <w:pPr>
              <w:spacing w:line="240" w:lineRule="auto"/>
              <w:jc w:val="center"/>
              <w:rPr>
                <w:rFonts w:asciiTheme="majorHAnsi" w:hAnsiTheme="majorHAnsi" w:cstheme="majorHAnsi"/>
                <w:color w:val="000000"/>
                <w:sz w:val="20"/>
                <w:szCs w:val="20"/>
              </w:rPr>
            </w:pPr>
            <w:r w:rsidRPr="00593F91">
              <w:t>553.2</w:t>
            </w:r>
          </w:p>
        </w:tc>
      </w:tr>
      <w:tr w:rsidR="005F4C8E" w:rsidRPr="00C347BB" w14:paraId="3275D783"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0C3B4C63" w14:textId="55FDF8F8" w:rsidR="005F4C8E" w:rsidRPr="00C347BB" w:rsidRDefault="005F4C8E" w:rsidP="008E1F8B">
            <w:pPr>
              <w:spacing w:line="240" w:lineRule="auto"/>
              <w:jc w:val="center"/>
              <w:rPr>
                <w:rFonts w:asciiTheme="majorHAnsi" w:hAnsiTheme="majorHAnsi" w:cstheme="majorHAnsi"/>
                <w:color w:val="000000"/>
                <w:sz w:val="20"/>
                <w:szCs w:val="20"/>
              </w:rPr>
            </w:pPr>
            <w:r w:rsidRPr="00593F91">
              <w:t>28.75%</w:t>
            </w:r>
          </w:p>
        </w:tc>
        <w:tc>
          <w:tcPr>
            <w:tcW w:w="1710" w:type="dxa"/>
            <w:tcBorders>
              <w:top w:val="nil"/>
              <w:left w:val="nil"/>
              <w:bottom w:val="single" w:sz="4" w:space="0" w:color="auto"/>
              <w:right w:val="single" w:sz="4" w:space="0" w:color="auto"/>
            </w:tcBorders>
            <w:shd w:val="clear" w:color="auto" w:fill="auto"/>
            <w:noWrap/>
            <w:vAlign w:val="center"/>
          </w:tcPr>
          <w:p w14:paraId="59EE2F41" w14:textId="6BAB3502" w:rsidR="005F4C8E" w:rsidRPr="00C347BB" w:rsidRDefault="005F4C8E" w:rsidP="008E1F8B">
            <w:pPr>
              <w:spacing w:line="240" w:lineRule="auto"/>
              <w:jc w:val="center"/>
              <w:rPr>
                <w:rFonts w:asciiTheme="majorHAnsi" w:hAnsiTheme="majorHAnsi" w:cstheme="majorHAnsi"/>
                <w:color w:val="000000"/>
                <w:sz w:val="20"/>
                <w:szCs w:val="20"/>
              </w:rPr>
            </w:pPr>
            <w:r w:rsidRPr="00593F91">
              <w:t>5,388.9</w:t>
            </w:r>
          </w:p>
        </w:tc>
        <w:tc>
          <w:tcPr>
            <w:tcW w:w="1260" w:type="dxa"/>
            <w:tcBorders>
              <w:top w:val="nil"/>
              <w:left w:val="nil"/>
              <w:bottom w:val="single" w:sz="4" w:space="0" w:color="auto"/>
              <w:right w:val="single" w:sz="4" w:space="0" w:color="auto"/>
            </w:tcBorders>
            <w:shd w:val="clear" w:color="auto" w:fill="auto"/>
            <w:noWrap/>
            <w:vAlign w:val="center"/>
          </w:tcPr>
          <w:p w14:paraId="2197C0C8" w14:textId="6051126F" w:rsidR="005F4C8E" w:rsidRPr="00C347BB" w:rsidRDefault="005F4C8E" w:rsidP="008E1F8B">
            <w:pPr>
              <w:spacing w:line="240" w:lineRule="auto"/>
              <w:jc w:val="center"/>
              <w:rPr>
                <w:rFonts w:asciiTheme="majorHAnsi" w:hAnsiTheme="majorHAnsi" w:cstheme="majorHAnsi"/>
                <w:color w:val="000000"/>
                <w:sz w:val="20"/>
                <w:szCs w:val="20"/>
              </w:rPr>
            </w:pPr>
            <w:r w:rsidRPr="00593F91">
              <w:t>241.4</w:t>
            </w:r>
          </w:p>
        </w:tc>
        <w:tc>
          <w:tcPr>
            <w:tcW w:w="1170" w:type="dxa"/>
            <w:tcBorders>
              <w:top w:val="nil"/>
              <w:left w:val="nil"/>
              <w:bottom w:val="single" w:sz="4" w:space="0" w:color="auto"/>
              <w:right w:val="single" w:sz="4" w:space="0" w:color="auto"/>
            </w:tcBorders>
            <w:shd w:val="clear" w:color="auto" w:fill="auto"/>
            <w:noWrap/>
            <w:vAlign w:val="center"/>
          </w:tcPr>
          <w:p w14:paraId="55CB8F46" w14:textId="4B47B311" w:rsidR="005F4C8E" w:rsidRPr="00C347BB" w:rsidRDefault="005F4C8E" w:rsidP="008E1F8B">
            <w:pPr>
              <w:spacing w:line="240" w:lineRule="auto"/>
              <w:jc w:val="center"/>
              <w:rPr>
                <w:rFonts w:asciiTheme="majorHAnsi" w:hAnsiTheme="majorHAnsi" w:cstheme="majorHAnsi"/>
                <w:color w:val="000000"/>
                <w:sz w:val="20"/>
                <w:szCs w:val="20"/>
              </w:rPr>
            </w:pPr>
            <w:r w:rsidRPr="00593F91">
              <w:t>334.9</w:t>
            </w:r>
          </w:p>
        </w:tc>
        <w:tc>
          <w:tcPr>
            <w:tcW w:w="1170" w:type="dxa"/>
            <w:tcBorders>
              <w:top w:val="nil"/>
              <w:left w:val="nil"/>
              <w:bottom w:val="single" w:sz="4" w:space="0" w:color="auto"/>
              <w:right w:val="single" w:sz="4" w:space="0" w:color="auto"/>
            </w:tcBorders>
            <w:shd w:val="clear" w:color="auto" w:fill="auto"/>
            <w:noWrap/>
            <w:vAlign w:val="center"/>
          </w:tcPr>
          <w:p w14:paraId="7D44495E" w14:textId="4DE61F06" w:rsidR="005F4C8E" w:rsidRPr="00C347BB" w:rsidRDefault="005F4C8E" w:rsidP="008E1F8B">
            <w:pPr>
              <w:spacing w:line="240" w:lineRule="auto"/>
              <w:jc w:val="center"/>
              <w:rPr>
                <w:rFonts w:asciiTheme="majorHAnsi" w:hAnsiTheme="majorHAnsi" w:cstheme="majorHAnsi"/>
                <w:color w:val="000000"/>
                <w:sz w:val="20"/>
                <w:szCs w:val="20"/>
              </w:rPr>
            </w:pPr>
            <w:r w:rsidRPr="00593F91">
              <w:t>415.8</w:t>
            </w:r>
          </w:p>
        </w:tc>
        <w:tc>
          <w:tcPr>
            <w:tcW w:w="1175" w:type="dxa"/>
            <w:tcBorders>
              <w:top w:val="nil"/>
              <w:left w:val="nil"/>
              <w:bottom w:val="single" w:sz="4" w:space="0" w:color="auto"/>
              <w:right w:val="single" w:sz="4" w:space="0" w:color="auto"/>
            </w:tcBorders>
            <w:shd w:val="clear" w:color="auto" w:fill="auto"/>
            <w:noWrap/>
            <w:vAlign w:val="center"/>
          </w:tcPr>
          <w:p w14:paraId="3FBF8C4A" w14:textId="2B065281" w:rsidR="005F4C8E" w:rsidRPr="00C347BB" w:rsidRDefault="005F4C8E" w:rsidP="008E1F8B">
            <w:pPr>
              <w:spacing w:line="240" w:lineRule="auto"/>
              <w:jc w:val="center"/>
              <w:rPr>
                <w:rFonts w:asciiTheme="majorHAnsi" w:hAnsiTheme="majorHAnsi" w:cstheme="majorHAnsi"/>
                <w:color w:val="000000"/>
                <w:sz w:val="20"/>
                <w:szCs w:val="20"/>
              </w:rPr>
            </w:pPr>
            <w:r w:rsidRPr="00593F91">
              <w:t>547.8</w:t>
            </w:r>
          </w:p>
        </w:tc>
      </w:tr>
      <w:tr w:rsidR="005F4C8E" w:rsidRPr="00C347BB" w14:paraId="14B92BE1"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6DD99441" w14:textId="5B9A752B" w:rsidR="005F4C8E" w:rsidRPr="00C347BB" w:rsidRDefault="005F4C8E" w:rsidP="008E1F8B">
            <w:pPr>
              <w:spacing w:line="240" w:lineRule="auto"/>
              <w:jc w:val="center"/>
              <w:rPr>
                <w:rFonts w:asciiTheme="majorHAnsi" w:hAnsiTheme="majorHAnsi" w:cstheme="majorHAnsi"/>
                <w:color w:val="000000"/>
                <w:sz w:val="20"/>
                <w:szCs w:val="20"/>
              </w:rPr>
            </w:pPr>
            <w:r w:rsidRPr="00593F91">
              <w:t>29.00%</w:t>
            </w:r>
          </w:p>
        </w:tc>
        <w:tc>
          <w:tcPr>
            <w:tcW w:w="1710" w:type="dxa"/>
            <w:tcBorders>
              <w:top w:val="nil"/>
              <w:left w:val="nil"/>
              <w:bottom w:val="single" w:sz="4" w:space="0" w:color="auto"/>
              <w:right w:val="single" w:sz="4" w:space="0" w:color="auto"/>
            </w:tcBorders>
            <w:shd w:val="clear" w:color="auto" w:fill="auto"/>
            <w:noWrap/>
            <w:vAlign w:val="center"/>
          </w:tcPr>
          <w:p w14:paraId="4F196F62" w14:textId="3FB48D50" w:rsidR="005F4C8E" w:rsidRPr="00C347BB" w:rsidRDefault="005F4C8E" w:rsidP="008E1F8B">
            <w:pPr>
              <w:spacing w:line="240" w:lineRule="auto"/>
              <w:jc w:val="center"/>
              <w:rPr>
                <w:rFonts w:asciiTheme="majorHAnsi" w:hAnsiTheme="majorHAnsi" w:cstheme="majorHAnsi"/>
                <w:color w:val="000000"/>
                <w:sz w:val="20"/>
                <w:szCs w:val="20"/>
              </w:rPr>
            </w:pPr>
            <w:r w:rsidRPr="00593F91">
              <w:t>5,398.3</w:t>
            </w:r>
          </w:p>
        </w:tc>
        <w:tc>
          <w:tcPr>
            <w:tcW w:w="1260" w:type="dxa"/>
            <w:tcBorders>
              <w:top w:val="nil"/>
              <w:left w:val="nil"/>
              <w:bottom w:val="single" w:sz="4" w:space="0" w:color="auto"/>
              <w:right w:val="single" w:sz="4" w:space="0" w:color="auto"/>
            </w:tcBorders>
            <w:shd w:val="clear" w:color="auto" w:fill="auto"/>
            <w:noWrap/>
            <w:vAlign w:val="center"/>
          </w:tcPr>
          <w:p w14:paraId="1DD2E07D" w14:textId="2910E8DB" w:rsidR="005F4C8E" w:rsidRPr="00C347BB" w:rsidRDefault="005F4C8E" w:rsidP="008E1F8B">
            <w:pPr>
              <w:spacing w:line="240" w:lineRule="auto"/>
              <w:jc w:val="center"/>
              <w:rPr>
                <w:rFonts w:asciiTheme="majorHAnsi" w:hAnsiTheme="majorHAnsi" w:cstheme="majorHAnsi"/>
                <w:color w:val="000000"/>
                <w:sz w:val="20"/>
                <w:szCs w:val="20"/>
              </w:rPr>
            </w:pPr>
            <w:r w:rsidRPr="00593F91">
              <w:t>239.9</w:t>
            </w:r>
          </w:p>
        </w:tc>
        <w:tc>
          <w:tcPr>
            <w:tcW w:w="1170" w:type="dxa"/>
            <w:tcBorders>
              <w:top w:val="nil"/>
              <w:left w:val="nil"/>
              <w:bottom w:val="single" w:sz="4" w:space="0" w:color="auto"/>
              <w:right w:val="single" w:sz="4" w:space="0" w:color="auto"/>
            </w:tcBorders>
            <w:shd w:val="clear" w:color="auto" w:fill="auto"/>
            <w:noWrap/>
            <w:vAlign w:val="center"/>
          </w:tcPr>
          <w:p w14:paraId="3DFAE5BD" w14:textId="09948EF1" w:rsidR="005F4C8E" w:rsidRPr="00C347BB" w:rsidRDefault="005F4C8E" w:rsidP="008E1F8B">
            <w:pPr>
              <w:spacing w:line="240" w:lineRule="auto"/>
              <w:jc w:val="center"/>
              <w:rPr>
                <w:rFonts w:asciiTheme="majorHAnsi" w:hAnsiTheme="majorHAnsi" w:cstheme="majorHAnsi"/>
                <w:color w:val="000000"/>
                <w:sz w:val="20"/>
                <w:szCs w:val="20"/>
              </w:rPr>
            </w:pPr>
            <w:r w:rsidRPr="00593F91">
              <w:t>333.6</w:t>
            </w:r>
          </w:p>
        </w:tc>
        <w:tc>
          <w:tcPr>
            <w:tcW w:w="1170" w:type="dxa"/>
            <w:tcBorders>
              <w:top w:val="nil"/>
              <w:left w:val="nil"/>
              <w:bottom w:val="single" w:sz="4" w:space="0" w:color="auto"/>
              <w:right w:val="single" w:sz="4" w:space="0" w:color="auto"/>
            </w:tcBorders>
            <w:shd w:val="clear" w:color="auto" w:fill="auto"/>
            <w:noWrap/>
            <w:vAlign w:val="center"/>
          </w:tcPr>
          <w:p w14:paraId="5D4C64B1" w14:textId="5E85D202" w:rsidR="005F4C8E" w:rsidRPr="00C347BB" w:rsidRDefault="005F4C8E" w:rsidP="008E1F8B">
            <w:pPr>
              <w:spacing w:line="240" w:lineRule="auto"/>
              <w:jc w:val="center"/>
              <w:rPr>
                <w:rFonts w:asciiTheme="majorHAnsi" w:hAnsiTheme="majorHAnsi" w:cstheme="majorHAnsi"/>
                <w:color w:val="000000"/>
                <w:sz w:val="20"/>
                <w:szCs w:val="20"/>
              </w:rPr>
            </w:pPr>
            <w:r w:rsidRPr="00593F91">
              <w:t>413.6</w:t>
            </w:r>
          </w:p>
        </w:tc>
        <w:tc>
          <w:tcPr>
            <w:tcW w:w="1175" w:type="dxa"/>
            <w:tcBorders>
              <w:top w:val="nil"/>
              <w:left w:val="nil"/>
              <w:bottom w:val="single" w:sz="4" w:space="0" w:color="auto"/>
              <w:right w:val="single" w:sz="4" w:space="0" w:color="auto"/>
            </w:tcBorders>
            <w:shd w:val="clear" w:color="auto" w:fill="auto"/>
            <w:noWrap/>
            <w:vAlign w:val="center"/>
          </w:tcPr>
          <w:p w14:paraId="56BFBCC1" w14:textId="155868F4" w:rsidR="005F4C8E" w:rsidRPr="00C347BB" w:rsidRDefault="005F4C8E" w:rsidP="008E1F8B">
            <w:pPr>
              <w:spacing w:line="240" w:lineRule="auto"/>
              <w:jc w:val="center"/>
              <w:rPr>
                <w:rFonts w:asciiTheme="majorHAnsi" w:hAnsiTheme="majorHAnsi" w:cstheme="majorHAnsi"/>
                <w:color w:val="000000"/>
                <w:sz w:val="20"/>
                <w:szCs w:val="20"/>
              </w:rPr>
            </w:pPr>
            <w:r w:rsidRPr="00593F91">
              <w:t>542.2</w:t>
            </w:r>
          </w:p>
        </w:tc>
      </w:tr>
      <w:tr w:rsidR="005F4C8E" w:rsidRPr="00C347BB" w14:paraId="31714A4C"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1ED52291" w14:textId="6A88B4D8" w:rsidR="005F4C8E" w:rsidRPr="00C347BB" w:rsidRDefault="005F4C8E" w:rsidP="008E1F8B">
            <w:pPr>
              <w:spacing w:line="240" w:lineRule="auto"/>
              <w:jc w:val="center"/>
              <w:rPr>
                <w:rFonts w:asciiTheme="majorHAnsi" w:hAnsiTheme="majorHAnsi" w:cstheme="majorHAnsi"/>
                <w:color w:val="000000"/>
                <w:sz w:val="20"/>
                <w:szCs w:val="20"/>
              </w:rPr>
            </w:pPr>
            <w:r w:rsidRPr="00593F91">
              <w:t>29.25%</w:t>
            </w:r>
          </w:p>
        </w:tc>
        <w:tc>
          <w:tcPr>
            <w:tcW w:w="1710" w:type="dxa"/>
            <w:tcBorders>
              <w:top w:val="nil"/>
              <w:left w:val="nil"/>
              <w:bottom w:val="single" w:sz="4" w:space="0" w:color="auto"/>
              <w:right w:val="single" w:sz="4" w:space="0" w:color="auto"/>
            </w:tcBorders>
            <w:shd w:val="clear" w:color="auto" w:fill="auto"/>
            <w:noWrap/>
            <w:vAlign w:val="center"/>
          </w:tcPr>
          <w:p w14:paraId="719BE79E" w14:textId="11675B77" w:rsidR="005F4C8E" w:rsidRPr="00C347BB" w:rsidRDefault="005F4C8E" w:rsidP="008E1F8B">
            <w:pPr>
              <w:spacing w:line="240" w:lineRule="auto"/>
              <w:jc w:val="center"/>
              <w:rPr>
                <w:rFonts w:asciiTheme="majorHAnsi" w:hAnsiTheme="majorHAnsi" w:cstheme="majorHAnsi"/>
                <w:color w:val="000000"/>
                <w:sz w:val="20"/>
                <w:szCs w:val="20"/>
              </w:rPr>
            </w:pPr>
            <w:r w:rsidRPr="00593F91">
              <w:t>5,407.8</w:t>
            </w:r>
          </w:p>
        </w:tc>
        <w:tc>
          <w:tcPr>
            <w:tcW w:w="1260" w:type="dxa"/>
            <w:tcBorders>
              <w:top w:val="nil"/>
              <w:left w:val="nil"/>
              <w:bottom w:val="single" w:sz="4" w:space="0" w:color="auto"/>
              <w:right w:val="single" w:sz="4" w:space="0" w:color="auto"/>
            </w:tcBorders>
            <w:shd w:val="clear" w:color="auto" w:fill="auto"/>
            <w:noWrap/>
            <w:vAlign w:val="center"/>
          </w:tcPr>
          <w:p w14:paraId="05119B87" w14:textId="5CDE543E" w:rsidR="005F4C8E" w:rsidRPr="00C347BB" w:rsidRDefault="005F4C8E" w:rsidP="008E1F8B">
            <w:pPr>
              <w:spacing w:line="240" w:lineRule="auto"/>
              <w:jc w:val="center"/>
              <w:rPr>
                <w:rFonts w:asciiTheme="majorHAnsi" w:hAnsiTheme="majorHAnsi" w:cstheme="majorHAnsi"/>
                <w:color w:val="000000"/>
                <w:sz w:val="20"/>
                <w:szCs w:val="20"/>
              </w:rPr>
            </w:pPr>
            <w:r w:rsidRPr="00593F91">
              <w:t>238.6</w:t>
            </w:r>
          </w:p>
        </w:tc>
        <w:tc>
          <w:tcPr>
            <w:tcW w:w="1170" w:type="dxa"/>
            <w:tcBorders>
              <w:top w:val="nil"/>
              <w:left w:val="nil"/>
              <w:bottom w:val="single" w:sz="4" w:space="0" w:color="auto"/>
              <w:right w:val="single" w:sz="4" w:space="0" w:color="auto"/>
            </w:tcBorders>
            <w:shd w:val="clear" w:color="auto" w:fill="auto"/>
            <w:noWrap/>
            <w:vAlign w:val="center"/>
          </w:tcPr>
          <w:p w14:paraId="0F8838BA" w14:textId="1F3AB89B" w:rsidR="005F4C8E" w:rsidRPr="00C347BB" w:rsidRDefault="005F4C8E" w:rsidP="008E1F8B">
            <w:pPr>
              <w:spacing w:line="240" w:lineRule="auto"/>
              <w:jc w:val="center"/>
              <w:rPr>
                <w:rFonts w:asciiTheme="majorHAnsi" w:hAnsiTheme="majorHAnsi" w:cstheme="majorHAnsi"/>
                <w:color w:val="000000"/>
                <w:sz w:val="20"/>
                <w:szCs w:val="20"/>
              </w:rPr>
            </w:pPr>
            <w:r w:rsidRPr="00593F91">
              <w:t>331.8</w:t>
            </w:r>
          </w:p>
        </w:tc>
        <w:tc>
          <w:tcPr>
            <w:tcW w:w="1170" w:type="dxa"/>
            <w:tcBorders>
              <w:top w:val="nil"/>
              <w:left w:val="nil"/>
              <w:bottom w:val="single" w:sz="4" w:space="0" w:color="auto"/>
              <w:right w:val="single" w:sz="4" w:space="0" w:color="auto"/>
            </w:tcBorders>
            <w:shd w:val="clear" w:color="auto" w:fill="auto"/>
            <w:noWrap/>
            <w:vAlign w:val="center"/>
          </w:tcPr>
          <w:p w14:paraId="77F4F143" w14:textId="7449F6D3" w:rsidR="005F4C8E" w:rsidRPr="00C347BB" w:rsidRDefault="005F4C8E" w:rsidP="008E1F8B">
            <w:pPr>
              <w:spacing w:line="240" w:lineRule="auto"/>
              <w:jc w:val="center"/>
              <w:rPr>
                <w:rFonts w:asciiTheme="majorHAnsi" w:hAnsiTheme="majorHAnsi" w:cstheme="majorHAnsi"/>
                <w:color w:val="000000"/>
                <w:sz w:val="20"/>
                <w:szCs w:val="20"/>
              </w:rPr>
            </w:pPr>
            <w:r w:rsidRPr="00593F91">
              <w:t>411.5</w:t>
            </w:r>
          </w:p>
        </w:tc>
        <w:tc>
          <w:tcPr>
            <w:tcW w:w="1175" w:type="dxa"/>
            <w:tcBorders>
              <w:top w:val="nil"/>
              <w:left w:val="nil"/>
              <w:bottom w:val="single" w:sz="4" w:space="0" w:color="auto"/>
              <w:right w:val="single" w:sz="4" w:space="0" w:color="auto"/>
            </w:tcBorders>
            <w:shd w:val="clear" w:color="auto" w:fill="auto"/>
            <w:noWrap/>
            <w:vAlign w:val="center"/>
          </w:tcPr>
          <w:p w14:paraId="0AD8924D" w14:textId="0C5371A3" w:rsidR="005F4C8E" w:rsidRPr="00C347BB" w:rsidRDefault="005F4C8E" w:rsidP="008E1F8B">
            <w:pPr>
              <w:spacing w:line="240" w:lineRule="auto"/>
              <w:jc w:val="center"/>
              <w:rPr>
                <w:rFonts w:asciiTheme="majorHAnsi" w:hAnsiTheme="majorHAnsi" w:cstheme="majorHAnsi"/>
                <w:color w:val="000000"/>
                <w:sz w:val="20"/>
                <w:szCs w:val="20"/>
              </w:rPr>
            </w:pPr>
            <w:r w:rsidRPr="00593F91">
              <w:t>536.4</w:t>
            </w:r>
          </w:p>
        </w:tc>
      </w:tr>
      <w:tr w:rsidR="005F4C8E" w:rsidRPr="00C347BB" w14:paraId="261B31EB"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623C1388" w14:textId="11ED0A1F" w:rsidR="005F4C8E" w:rsidRPr="00C347BB" w:rsidRDefault="005F4C8E" w:rsidP="008E1F8B">
            <w:pPr>
              <w:spacing w:line="240" w:lineRule="auto"/>
              <w:jc w:val="center"/>
              <w:rPr>
                <w:rFonts w:asciiTheme="majorHAnsi" w:hAnsiTheme="majorHAnsi" w:cstheme="majorHAnsi"/>
                <w:color w:val="000000"/>
                <w:sz w:val="20"/>
                <w:szCs w:val="20"/>
              </w:rPr>
            </w:pPr>
            <w:r w:rsidRPr="00593F91">
              <w:t>29.50%</w:t>
            </w:r>
          </w:p>
        </w:tc>
        <w:tc>
          <w:tcPr>
            <w:tcW w:w="1710" w:type="dxa"/>
            <w:tcBorders>
              <w:top w:val="nil"/>
              <w:left w:val="nil"/>
              <w:bottom w:val="single" w:sz="4" w:space="0" w:color="auto"/>
              <w:right w:val="single" w:sz="4" w:space="0" w:color="auto"/>
            </w:tcBorders>
            <w:shd w:val="clear" w:color="auto" w:fill="auto"/>
            <w:noWrap/>
            <w:vAlign w:val="center"/>
          </w:tcPr>
          <w:p w14:paraId="35C64503" w14:textId="757F300D" w:rsidR="005F4C8E" w:rsidRPr="00C347BB" w:rsidRDefault="005F4C8E" w:rsidP="008E1F8B">
            <w:pPr>
              <w:spacing w:line="240" w:lineRule="auto"/>
              <w:jc w:val="center"/>
              <w:rPr>
                <w:rFonts w:asciiTheme="majorHAnsi" w:hAnsiTheme="majorHAnsi" w:cstheme="majorHAnsi"/>
                <w:color w:val="000000"/>
                <w:sz w:val="20"/>
                <w:szCs w:val="20"/>
              </w:rPr>
            </w:pPr>
            <w:r w:rsidRPr="00593F91">
              <w:t>5,417.4</w:t>
            </w:r>
          </w:p>
        </w:tc>
        <w:tc>
          <w:tcPr>
            <w:tcW w:w="1260" w:type="dxa"/>
            <w:tcBorders>
              <w:top w:val="nil"/>
              <w:left w:val="nil"/>
              <w:bottom w:val="single" w:sz="4" w:space="0" w:color="auto"/>
              <w:right w:val="single" w:sz="4" w:space="0" w:color="auto"/>
            </w:tcBorders>
            <w:shd w:val="clear" w:color="auto" w:fill="auto"/>
            <w:noWrap/>
            <w:vAlign w:val="center"/>
          </w:tcPr>
          <w:p w14:paraId="1252608E" w14:textId="1BC6333A" w:rsidR="005F4C8E" w:rsidRPr="00C347BB" w:rsidRDefault="005F4C8E" w:rsidP="008E1F8B">
            <w:pPr>
              <w:spacing w:line="240" w:lineRule="auto"/>
              <w:jc w:val="center"/>
              <w:rPr>
                <w:rFonts w:asciiTheme="majorHAnsi" w:hAnsiTheme="majorHAnsi" w:cstheme="majorHAnsi"/>
                <w:color w:val="000000"/>
                <w:sz w:val="20"/>
                <w:szCs w:val="20"/>
              </w:rPr>
            </w:pPr>
            <w:r w:rsidRPr="00593F91">
              <w:t>237.3</w:t>
            </w:r>
          </w:p>
        </w:tc>
        <w:tc>
          <w:tcPr>
            <w:tcW w:w="1170" w:type="dxa"/>
            <w:tcBorders>
              <w:top w:val="nil"/>
              <w:left w:val="nil"/>
              <w:bottom w:val="single" w:sz="4" w:space="0" w:color="auto"/>
              <w:right w:val="single" w:sz="4" w:space="0" w:color="auto"/>
            </w:tcBorders>
            <w:shd w:val="clear" w:color="auto" w:fill="auto"/>
            <w:noWrap/>
            <w:vAlign w:val="center"/>
          </w:tcPr>
          <w:p w14:paraId="7D4EE09A" w14:textId="7E099BC1" w:rsidR="005F4C8E" w:rsidRPr="00C347BB" w:rsidRDefault="005F4C8E" w:rsidP="008E1F8B">
            <w:pPr>
              <w:spacing w:line="240" w:lineRule="auto"/>
              <w:jc w:val="center"/>
              <w:rPr>
                <w:rFonts w:asciiTheme="majorHAnsi" w:hAnsiTheme="majorHAnsi" w:cstheme="majorHAnsi"/>
                <w:color w:val="000000"/>
                <w:sz w:val="20"/>
                <w:szCs w:val="20"/>
              </w:rPr>
            </w:pPr>
            <w:r w:rsidRPr="00593F91">
              <w:t>329.7</w:t>
            </w:r>
          </w:p>
        </w:tc>
        <w:tc>
          <w:tcPr>
            <w:tcW w:w="1170" w:type="dxa"/>
            <w:tcBorders>
              <w:top w:val="nil"/>
              <w:left w:val="nil"/>
              <w:bottom w:val="single" w:sz="4" w:space="0" w:color="auto"/>
              <w:right w:val="single" w:sz="4" w:space="0" w:color="auto"/>
            </w:tcBorders>
            <w:shd w:val="clear" w:color="auto" w:fill="auto"/>
            <w:noWrap/>
            <w:vAlign w:val="center"/>
          </w:tcPr>
          <w:p w14:paraId="560B7CEA" w14:textId="6210BE4B" w:rsidR="005F4C8E" w:rsidRPr="00C347BB" w:rsidRDefault="005F4C8E" w:rsidP="008E1F8B">
            <w:pPr>
              <w:spacing w:line="240" w:lineRule="auto"/>
              <w:jc w:val="center"/>
              <w:rPr>
                <w:rFonts w:asciiTheme="majorHAnsi" w:hAnsiTheme="majorHAnsi" w:cstheme="majorHAnsi"/>
                <w:color w:val="000000"/>
                <w:sz w:val="20"/>
                <w:szCs w:val="20"/>
              </w:rPr>
            </w:pPr>
            <w:r w:rsidRPr="00593F91">
              <w:t>409.4</w:t>
            </w:r>
          </w:p>
        </w:tc>
        <w:tc>
          <w:tcPr>
            <w:tcW w:w="1175" w:type="dxa"/>
            <w:tcBorders>
              <w:top w:val="nil"/>
              <w:left w:val="nil"/>
              <w:bottom w:val="single" w:sz="4" w:space="0" w:color="auto"/>
              <w:right w:val="single" w:sz="4" w:space="0" w:color="auto"/>
            </w:tcBorders>
            <w:shd w:val="clear" w:color="auto" w:fill="auto"/>
            <w:noWrap/>
            <w:vAlign w:val="center"/>
          </w:tcPr>
          <w:p w14:paraId="11C3F859" w14:textId="28A4CD1E" w:rsidR="005F4C8E" w:rsidRPr="00C347BB" w:rsidRDefault="005F4C8E" w:rsidP="008E1F8B">
            <w:pPr>
              <w:spacing w:line="240" w:lineRule="auto"/>
              <w:jc w:val="center"/>
              <w:rPr>
                <w:rFonts w:asciiTheme="majorHAnsi" w:hAnsiTheme="majorHAnsi" w:cstheme="majorHAnsi"/>
                <w:color w:val="000000"/>
                <w:sz w:val="20"/>
                <w:szCs w:val="20"/>
              </w:rPr>
            </w:pPr>
            <w:r w:rsidRPr="00593F91">
              <w:t>530.3</w:t>
            </w:r>
          </w:p>
        </w:tc>
      </w:tr>
      <w:tr w:rsidR="005F4C8E" w:rsidRPr="00C347BB" w14:paraId="72430EDA"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7C56D810" w14:textId="06956744" w:rsidR="005F4C8E" w:rsidRPr="00C347BB" w:rsidRDefault="005F4C8E" w:rsidP="008E1F8B">
            <w:pPr>
              <w:spacing w:line="240" w:lineRule="auto"/>
              <w:jc w:val="center"/>
              <w:rPr>
                <w:rFonts w:asciiTheme="majorHAnsi" w:hAnsiTheme="majorHAnsi" w:cstheme="majorHAnsi"/>
                <w:color w:val="000000"/>
                <w:sz w:val="20"/>
                <w:szCs w:val="20"/>
              </w:rPr>
            </w:pPr>
            <w:r w:rsidRPr="00593F91">
              <w:t>29.75%</w:t>
            </w:r>
          </w:p>
        </w:tc>
        <w:tc>
          <w:tcPr>
            <w:tcW w:w="1710" w:type="dxa"/>
            <w:tcBorders>
              <w:top w:val="nil"/>
              <w:left w:val="nil"/>
              <w:bottom w:val="single" w:sz="4" w:space="0" w:color="auto"/>
              <w:right w:val="single" w:sz="4" w:space="0" w:color="auto"/>
            </w:tcBorders>
            <w:shd w:val="clear" w:color="auto" w:fill="auto"/>
            <w:noWrap/>
            <w:vAlign w:val="center"/>
          </w:tcPr>
          <w:p w14:paraId="2AABD9E5" w14:textId="51E99EA8" w:rsidR="005F4C8E" w:rsidRPr="00C347BB" w:rsidRDefault="005F4C8E" w:rsidP="008E1F8B">
            <w:pPr>
              <w:spacing w:line="240" w:lineRule="auto"/>
              <w:jc w:val="center"/>
              <w:rPr>
                <w:rFonts w:asciiTheme="majorHAnsi" w:hAnsiTheme="majorHAnsi" w:cstheme="majorHAnsi"/>
                <w:color w:val="000000"/>
                <w:sz w:val="20"/>
                <w:szCs w:val="20"/>
              </w:rPr>
            </w:pPr>
            <w:r w:rsidRPr="00593F91">
              <w:t>5,427.2</w:t>
            </w:r>
          </w:p>
        </w:tc>
        <w:tc>
          <w:tcPr>
            <w:tcW w:w="1260" w:type="dxa"/>
            <w:tcBorders>
              <w:top w:val="nil"/>
              <w:left w:val="nil"/>
              <w:bottom w:val="single" w:sz="4" w:space="0" w:color="auto"/>
              <w:right w:val="single" w:sz="4" w:space="0" w:color="auto"/>
            </w:tcBorders>
            <w:shd w:val="clear" w:color="auto" w:fill="auto"/>
            <w:noWrap/>
            <w:vAlign w:val="center"/>
          </w:tcPr>
          <w:p w14:paraId="1DD2F83E" w14:textId="474EEBB2" w:rsidR="005F4C8E" w:rsidRPr="00C347BB" w:rsidRDefault="005F4C8E" w:rsidP="008E1F8B">
            <w:pPr>
              <w:spacing w:line="240" w:lineRule="auto"/>
              <w:jc w:val="center"/>
              <w:rPr>
                <w:rFonts w:asciiTheme="majorHAnsi" w:hAnsiTheme="majorHAnsi" w:cstheme="majorHAnsi"/>
                <w:color w:val="000000"/>
                <w:sz w:val="20"/>
                <w:szCs w:val="20"/>
              </w:rPr>
            </w:pPr>
            <w:r w:rsidRPr="00593F91">
              <w:t>236.1</w:t>
            </w:r>
          </w:p>
        </w:tc>
        <w:tc>
          <w:tcPr>
            <w:tcW w:w="1170" w:type="dxa"/>
            <w:tcBorders>
              <w:top w:val="nil"/>
              <w:left w:val="nil"/>
              <w:bottom w:val="single" w:sz="4" w:space="0" w:color="auto"/>
              <w:right w:val="single" w:sz="4" w:space="0" w:color="auto"/>
            </w:tcBorders>
            <w:shd w:val="clear" w:color="auto" w:fill="auto"/>
            <w:noWrap/>
            <w:vAlign w:val="center"/>
          </w:tcPr>
          <w:p w14:paraId="418A1207" w14:textId="2D5307FA" w:rsidR="005F4C8E" w:rsidRPr="00C347BB" w:rsidRDefault="005F4C8E" w:rsidP="008E1F8B">
            <w:pPr>
              <w:spacing w:line="240" w:lineRule="auto"/>
              <w:jc w:val="center"/>
              <w:rPr>
                <w:rFonts w:asciiTheme="majorHAnsi" w:hAnsiTheme="majorHAnsi" w:cstheme="majorHAnsi"/>
                <w:color w:val="000000"/>
                <w:sz w:val="20"/>
                <w:szCs w:val="20"/>
              </w:rPr>
            </w:pPr>
            <w:r w:rsidRPr="00593F91">
              <w:t>327.1</w:t>
            </w:r>
          </w:p>
        </w:tc>
        <w:tc>
          <w:tcPr>
            <w:tcW w:w="1170" w:type="dxa"/>
            <w:tcBorders>
              <w:top w:val="nil"/>
              <w:left w:val="nil"/>
              <w:bottom w:val="single" w:sz="4" w:space="0" w:color="auto"/>
              <w:right w:val="single" w:sz="4" w:space="0" w:color="auto"/>
            </w:tcBorders>
            <w:shd w:val="clear" w:color="auto" w:fill="auto"/>
            <w:noWrap/>
            <w:vAlign w:val="center"/>
          </w:tcPr>
          <w:p w14:paraId="68E27686" w14:textId="0E4CE3B8" w:rsidR="005F4C8E" w:rsidRPr="00C347BB" w:rsidRDefault="005F4C8E" w:rsidP="008E1F8B">
            <w:pPr>
              <w:spacing w:line="240" w:lineRule="auto"/>
              <w:jc w:val="center"/>
              <w:rPr>
                <w:rFonts w:asciiTheme="majorHAnsi" w:hAnsiTheme="majorHAnsi" w:cstheme="majorHAnsi"/>
                <w:color w:val="000000"/>
                <w:sz w:val="20"/>
                <w:szCs w:val="20"/>
              </w:rPr>
            </w:pPr>
            <w:r w:rsidRPr="00593F91">
              <w:t>407.5</w:t>
            </w:r>
          </w:p>
        </w:tc>
        <w:tc>
          <w:tcPr>
            <w:tcW w:w="1175" w:type="dxa"/>
            <w:tcBorders>
              <w:top w:val="nil"/>
              <w:left w:val="nil"/>
              <w:bottom w:val="single" w:sz="4" w:space="0" w:color="auto"/>
              <w:right w:val="single" w:sz="4" w:space="0" w:color="auto"/>
            </w:tcBorders>
            <w:shd w:val="clear" w:color="auto" w:fill="auto"/>
            <w:noWrap/>
            <w:vAlign w:val="center"/>
          </w:tcPr>
          <w:p w14:paraId="52E9E6AB" w14:textId="4DFFA55E" w:rsidR="005F4C8E" w:rsidRPr="00C347BB" w:rsidRDefault="005F4C8E" w:rsidP="008E1F8B">
            <w:pPr>
              <w:spacing w:line="240" w:lineRule="auto"/>
              <w:jc w:val="center"/>
              <w:rPr>
                <w:rFonts w:asciiTheme="majorHAnsi" w:hAnsiTheme="majorHAnsi" w:cstheme="majorHAnsi"/>
                <w:color w:val="000000"/>
                <w:sz w:val="20"/>
                <w:szCs w:val="20"/>
              </w:rPr>
            </w:pPr>
            <w:r w:rsidRPr="00593F91">
              <w:t>523.9</w:t>
            </w:r>
          </w:p>
        </w:tc>
      </w:tr>
      <w:tr w:rsidR="005F4C8E" w:rsidRPr="00C347BB" w14:paraId="54536953" w14:textId="77777777" w:rsidTr="008E1F8B">
        <w:trPr>
          <w:trHeight w:hRule="exact" w:val="302"/>
          <w:jc w:val="center"/>
        </w:trPr>
        <w:tc>
          <w:tcPr>
            <w:tcW w:w="1705" w:type="dxa"/>
            <w:tcBorders>
              <w:top w:val="nil"/>
              <w:left w:val="single" w:sz="4" w:space="0" w:color="auto"/>
              <w:bottom w:val="single" w:sz="4" w:space="0" w:color="auto"/>
              <w:right w:val="single" w:sz="4" w:space="0" w:color="auto"/>
            </w:tcBorders>
            <w:shd w:val="clear" w:color="auto" w:fill="auto"/>
            <w:noWrap/>
            <w:vAlign w:val="center"/>
          </w:tcPr>
          <w:p w14:paraId="119DAE25" w14:textId="0780CCC9" w:rsidR="005F4C8E" w:rsidRPr="00C347BB" w:rsidRDefault="005F4C8E" w:rsidP="008E1F8B">
            <w:pPr>
              <w:spacing w:line="240" w:lineRule="auto"/>
              <w:jc w:val="center"/>
              <w:rPr>
                <w:rFonts w:asciiTheme="majorHAnsi" w:hAnsiTheme="majorHAnsi" w:cstheme="majorHAnsi"/>
                <w:color w:val="000000"/>
                <w:sz w:val="20"/>
                <w:szCs w:val="20"/>
              </w:rPr>
            </w:pPr>
            <w:r w:rsidRPr="00593F91">
              <w:t>30.00%</w:t>
            </w:r>
          </w:p>
        </w:tc>
        <w:tc>
          <w:tcPr>
            <w:tcW w:w="1710" w:type="dxa"/>
            <w:tcBorders>
              <w:top w:val="nil"/>
              <w:left w:val="nil"/>
              <w:bottom w:val="single" w:sz="4" w:space="0" w:color="auto"/>
              <w:right w:val="single" w:sz="4" w:space="0" w:color="auto"/>
            </w:tcBorders>
            <w:shd w:val="clear" w:color="auto" w:fill="auto"/>
            <w:noWrap/>
            <w:vAlign w:val="center"/>
          </w:tcPr>
          <w:p w14:paraId="692E791C" w14:textId="6A908626" w:rsidR="005F4C8E" w:rsidRPr="00C347BB" w:rsidRDefault="005F4C8E" w:rsidP="008E1F8B">
            <w:pPr>
              <w:spacing w:line="240" w:lineRule="auto"/>
              <w:jc w:val="center"/>
              <w:rPr>
                <w:rFonts w:asciiTheme="majorHAnsi" w:hAnsiTheme="majorHAnsi" w:cstheme="majorHAnsi"/>
                <w:color w:val="000000"/>
                <w:sz w:val="20"/>
                <w:szCs w:val="20"/>
              </w:rPr>
            </w:pPr>
            <w:r w:rsidRPr="00593F91">
              <w:t>5,437.0</w:t>
            </w:r>
          </w:p>
        </w:tc>
        <w:tc>
          <w:tcPr>
            <w:tcW w:w="1260" w:type="dxa"/>
            <w:tcBorders>
              <w:top w:val="nil"/>
              <w:left w:val="nil"/>
              <w:bottom w:val="single" w:sz="4" w:space="0" w:color="auto"/>
              <w:right w:val="single" w:sz="4" w:space="0" w:color="auto"/>
            </w:tcBorders>
            <w:shd w:val="clear" w:color="auto" w:fill="auto"/>
            <w:noWrap/>
            <w:vAlign w:val="center"/>
          </w:tcPr>
          <w:p w14:paraId="36E925CD" w14:textId="0AA61836" w:rsidR="005F4C8E" w:rsidRPr="00C347BB" w:rsidRDefault="005F4C8E" w:rsidP="008E1F8B">
            <w:pPr>
              <w:spacing w:line="240" w:lineRule="auto"/>
              <w:jc w:val="center"/>
              <w:rPr>
                <w:rFonts w:asciiTheme="majorHAnsi" w:hAnsiTheme="majorHAnsi" w:cstheme="majorHAnsi"/>
                <w:color w:val="000000"/>
                <w:sz w:val="20"/>
                <w:szCs w:val="20"/>
              </w:rPr>
            </w:pPr>
            <w:r w:rsidRPr="00593F91">
              <w:t>234.9</w:t>
            </w:r>
          </w:p>
        </w:tc>
        <w:tc>
          <w:tcPr>
            <w:tcW w:w="1170" w:type="dxa"/>
            <w:tcBorders>
              <w:top w:val="nil"/>
              <w:left w:val="nil"/>
              <w:bottom w:val="single" w:sz="4" w:space="0" w:color="auto"/>
              <w:right w:val="single" w:sz="4" w:space="0" w:color="auto"/>
            </w:tcBorders>
            <w:shd w:val="clear" w:color="auto" w:fill="auto"/>
            <w:noWrap/>
            <w:vAlign w:val="center"/>
          </w:tcPr>
          <w:p w14:paraId="295C0244" w14:textId="08E0EE56" w:rsidR="005F4C8E" w:rsidRPr="00C347BB" w:rsidRDefault="005F4C8E" w:rsidP="008E1F8B">
            <w:pPr>
              <w:spacing w:line="240" w:lineRule="auto"/>
              <w:jc w:val="center"/>
              <w:rPr>
                <w:rFonts w:asciiTheme="majorHAnsi" w:hAnsiTheme="majorHAnsi" w:cstheme="majorHAnsi"/>
                <w:color w:val="000000"/>
                <w:sz w:val="20"/>
                <w:szCs w:val="20"/>
              </w:rPr>
            </w:pPr>
            <w:r w:rsidRPr="00593F91">
              <w:t>324.0</w:t>
            </w:r>
          </w:p>
        </w:tc>
        <w:tc>
          <w:tcPr>
            <w:tcW w:w="1170" w:type="dxa"/>
            <w:tcBorders>
              <w:top w:val="nil"/>
              <w:left w:val="nil"/>
              <w:bottom w:val="single" w:sz="4" w:space="0" w:color="auto"/>
              <w:right w:val="single" w:sz="4" w:space="0" w:color="auto"/>
            </w:tcBorders>
            <w:shd w:val="clear" w:color="auto" w:fill="auto"/>
            <w:noWrap/>
            <w:vAlign w:val="center"/>
          </w:tcPr>
          <w:p w14:paraId="49CFA78B" w14:textId="58AA104B" w:rsidR="005F4C8E" w:rsidRPr="00C347BB" w:rsidRDefault="005F4C8E" w:rsidP="008E1F8B">
            <w:pPr>
              <w:spacing w:line="240" w:lineRule="auto"/>
              <w:jc w:val="center"/>
              <w:rPr>
                <w:rFonts w:asciiTheme="majorHAnsi" w:hAnsiTheme="majorHAnsi" w:cstheme="majorHAnsi"/>
                <w:color w:val="000000"/>
                <w:sz w:val="20"/>
                <w:szCs w:val="20"/>
              </w:rPr>
            </w:pPr>
            <w:r w:rsidRPr="00593F91">
              <w:t>405.6</w:t>
            </w:r>
          </w:p>
        </w:tc>
        <w:tc>
          <w:tcPr>
            <w:tcW w:w="1175" w:type="dxa"/>
            <w:tcBorders>
              <w:top w:val="nil"/>
              <w:left w:val="nil"/>
              <w:bottom w:val="single" w:sz="4" w:space="0" w:color="auto"/>
              <w:right w:val="single" w:sz="4" w:space="0" w:color="auto"/>
            </w:tcBorders>
            <w:shd w:val="clear" w:color="auto" w:fill="auto"/>
            <w:noWrap/>
            <w:vAlign w:val="center"/>
          </w:tcPr>
          <w:p w14:paraId="3E5B6C38" w14:textId="221B0275" w:rsidR="005F4C8E" w:rsidRPr="00C347BB" w:rsidRDefault="005F4C8E" w:rsidP="008E1F8B">
            <w:pPr>
              <w:spacing w:line="240" w:lineRule="auto"/>
              <w:jc w:val="center"/>
              <w:rPr>
                <w:rFonts w:asciiTheme="majorHAnsi" w:hAnsiTheme="majorHAnsi" w:cstheme="majorHAnsi"/>
                <w:color w:val="000000"/>
                <w:sz w:val="20"/>
                <w:szCs w:val="20"/>
              </w:rPr>
            </w:pPr>
            <w:r w:rsidRPr="00593F91">
              <w:t>517.0</w:t>
            </w:r>
          </w:p>
        </w:tc>
      </w:tr>
    </w:tbl>
    <w:p w14:paraId="57343EE3" w14:textId="0A5D73D1" w:rsidR="00C347BB" w:rsidRDefault="00C347BB" w:rsidP="00C347BB"/>
    <w:p w14:paraId="3E30DB3D" w14:textId="7357837B" w:rsidR="00C347BB" w:rsidRDefault="00C347BB" w:rsidP="00C347BB"/>
    <w:p w14:paraId="69ABC552" w14:textId="3D5AF8A8" w:rsidR="00D802D4" w:rsidRDefault="003C20C2" w:rsidP="00073CC6">
      <w:pPr>
        <w:rPr>
          <w:szCs w:val="24"/>
        </w:rPr>
      </w:pPr>
      <w:r>
        <w:rPr>
          <w:szCs w:val="24"/>
        </w:rPr>
        <w:t>For the 8</w:t>
      </w:r>
      <w:r w:rsidR="00536023">
        <w:rPr>
          <w:szCs w:val="24"/>
        </w:rPr>
        <w:t>5</w:t>
      </w:r>
      <w:r w:rsidRPr="00467F98">
        <w:rPr>
          <w:szCs w:val="24"/>
          <w:vertAlign w:val="superscript"/>
        </w:rPr>
        <w:t>th</w:t>
      </w:r>
      <w:r>
        <w:rPr>
          <w:szCs w:val="24"/>
        </w:rPr>
        <w:t xml:space="preserve"> percentile of risk (VaR8</w:t>
      </w:r>
      <w:r w:rsidR="00536023">
        <w:rPr>
          <w:szCs w:val="24"/>
        </w:rPr>
        <w:t>5</w:t>
      </w:r>
      <w:r>
        <w:rPr>
          <w:szCs w:val="24"/>
        </w:rPr>
        <w:t>), the incremental increase in expected cost roughly equals the incremental decrease in VaR8</w:t>
      </w:r>
      <w:r w:rsidR="00536023">
        <w:rPr>
          <w:szCs w:val="24"/>
        </w:rPr>
        <w:t>5</w:t>
      </w:r>
      <w:r>
        <w:rPr>
          <w:szCs w:val="24"/>
        </w:rPr>
        <w:t xml:space="preserve"> when moving from </w:t>
      </w:r>
      <w:r w:rsidR="00536023">
        <w:rPr>
          <w:szCs w:val="24"/>
        </w:rPr>
        <w:t>2</w:t>
      </w:r>
      <w:r w:rsidR="009E4111">
        <w:rPr>
          <w:szCs w:val="24"/>
        </w:rPr>
        <w:t>4.75</w:t>
      </w:r>
      <w:r>
        <w:rPr>
          <w:szCs w:val="24"/>
        </w:rPr>
        <w:t>% reserve margin to 2</w:t>
      </w:r>
      <w:r w:rsidR="009E4111">
        <w:rPr>
          <w:szCs w:val="24"/>
        </w:rPr>
        <w:t>5.00</w:t>
      </w:r>
      <w:r>
        <w:rPr>
          <w:szCs w:val="24"/>
        </w:rPr>
        <w:t>% reserve margin.</w:t>
      </w:r>
      <w:r w:rsidR="00A648A6">
        <w:rPr>
          <w:szCs w:val="24"/>
        </w:rPr>
        <w:t xml:space="preserve"> </w:t>
      </w:r>
      <w:r w:rsidR="00C42C04">
        <w:rPr>
          <w:szCs w:val="24"/>
        </w:rPr>
        <w:t>At this point, the incremental increase in cost is $</w:t>
      </w:r>
      <w:r w:rsidR="009E4111">
        <w:rPr>
          <w:szCs w:val="24"/>
        </w:rPr>
        <w:t>5</w:t>
      </w:r>
      <w:r w:rsidR="001302C5">
        <w:rPr>
          <w:szCs w:val="24"/>
        </w:rPr>
        <w:t>,</w:t>
      </w:r>
      <w:r w:rsidR="009E4111">
        <w:rPr>
          <w:szCs w:val="24"/>
        </w:rPr>
        <w:t>275.4</w:t>
      </w:r>
      <w:r w:rsidR="00C42C04">
        <w:rPr>
          <w:szCs w:val="24"/>
        </w:rPr>
        <w:t>M - $</w:t>
      </w:r>
      <w:r w:rsidR="009E4111">
        <w:rPr>
          <w:szCs w:val="24"/>
        </w:rPr>
        <w:t>5,270</w:t>
      </w:r>
      <w:r w:rsidR="00C42C04">
        <w:rPr>
          <w:szCs w:val="24"/>
        </w:rPr>
        <w:t>.</w:t>
      </w:r>
      <w:r w:rsidR="009E4111">
        <w:rPr>
          <w:szCs w:val="24"/>
        </w:rPr>
        <w:t>4</w:t>
      </w:r>
      <w:r w:rsidR="00C42C04">
        <w:rPr>
          <w:szCs w:val="24"/>
        </w:rPr>
        <w:t>M = $</w:t>
      </w:r>
      <w:r w:rsidR="009E4111">
        <w:rPr>
          <w:szCs w:val="24"/>
        </w:rPr>
        <w:t>5.0</w:t>
      </w:r>
      <w:r w:rsidR="00AA5740">
        <w:rPr>
          <w:szCs w:val="24"/>
        </w:rPr>
        <w:t>M;</w:t>
      </w:r>
      <w:r w:rsidR="00C42C04">
        <w:rPr>
          <w:szCs w:val="24"/>
        </w:rPr>
        <w:t xml:space="preserve"> and the decrease in VaR8</w:t>
      </w:r>
      <w:r w:rsidR="00536023">
        <w:rPr>
          <w:szCs w:val="24"/>
        </w:rPr>
        <w:t>5</w:t>
      </w:r>
      <w:r w:rsidR="004322D4">
        <w:rPr>
          <w:szCs w:val="24"/>
        </w:rPr>
        <w:t>, or decrease in customers</w:t>
      </w:r>
      <w:r w:rsidR="00F81937">
        <w:rPr>
          <w:szCs w:val="24"/>
        </w:rPr>
        <w:t>’</w:t>
      </w:r>
      <w:r w:rsidR="004322D4">
        <w:rPr>
          <w:szCs w:val="24"/>
        </w:rPr>
        <w:t xml:space="preserve"> exposure to higher cost outcomes,</w:t>
      </w:r>
      <w:r w:rsidR="00C42C04">
        <w:rPr>
          <w:szCs w:val="24"/>
        </w:rPr>
        <w:t xml:space="preserve"> is $</w:t>
      </w:r>
      <w:r w:rsidR="009E4111">
        <w:rPr>
          <w:szCs w:val="24"/>
        </w:rPr>
        <w:t>463.9</w:t>
      </w:r>
      <w:r w:rsidR="00C975BF">
        <w:rPr>
          <w:szCs w:val="24"/>
        </w:rPr>
        <w:t>M</w:t>
      </w:r>
      <w:r w:rsidR="00C42C04">
        <w:rPr>
          <w:szCs w:val="24"/>
        </w:rPr>
        <w:t xml:space="preserve"> - $</w:t>
      </w:r>
      <w:r w:rsidR="009E4111">
        <w:rPr>
          <w:szCs w:val="24"/>
        </w:rPr>
        <w:t>469.0</w:t>
      </w:r>
      <w:r w:rsidR="00C42C04">
        <w:rPr>
          <w:szCs w:val="24"/>
        </w:rPr>
        <w:t>M = -$</w:t>
      </w:r>
      <w:r w:rsidR="009E4111">
        <w:rPr>
          <w:szCs w:val="24"/>
        </w:rPr>
        <w:t>5.1</w:t>
      </w:r>
      <w:r w:rsidR="00C42C04">
        <w:rPr>
          <w:szCs w:val="24"/>
        </w:rPr>
        <w:t>M.</w:t>
      </w:r>
      <w:r>
        <w:rPr>
          <w:szCs w:val="24"/>
        </w:rPr>
        <w:t xml:space="preserve"> Moving from 2</w:t>
      </w:r>
      <w:r w:rsidR="00391A7C">
        <w:rPr>
          <w:szCs w:val="24"/>
        </w:rPr>
        <w:t>5</w:t>
      </w:r>
      <w:r w:rsidR="009E4111">
        <w:rPr>
          <w:szCs w:val="24"/>
        </w:rPr>
        <w:t>.0</w:t>
      </w:r>
      <w:r w:rsidR="00391A7C">
        <w:rPr>
          <w:szCs w:val="24"/>
        </w:rPr>
        <w:t>0</w:t>
      </w:r>
      <w:r>
        <w:rPr>
          <w:szCs w:val="24"/>
        </w:rPr>
        <w:t>% to 2</w:t>
      </w:r>
      <w:r w:rsidR="009E4111">
        <w:rPr>
          <w:szCs w:val="24"/>
        </w:rPr>
        <w:t>5</w:t>
      </w:r>
      <w:r w:rsidR="00391A7C">
        <w:rPr>
          <w:szCs w:val="24"/>
        </w:rPr>
        <w:t>.</w:t>
      </w:r>
      <w:r w:rsidR="009E4111">
        <w:rPr>
          <w:szCs w:val="24"/>
        </w:rPr>
        <w:t>2</w:t>
      </w:r>
      <w:r w:rsidR="00391A7C">
        <w:rPr>
          <w:szCs w:val="24"/>
        </w:rPr>
        <w:t>5</w:t>
      </w:r>
      <w:r>
        <w:rPr>
          <w:szCs w:val="24"/>
        </w:rPr>
        <w:t xml:space="preserve">% results in an increase in expected costs </w:t>
      </w:r>
      <w:r w:rsidR="00C42C04">
        <w:rPr>
          <w:szCs w:val="24"/>
        </w:rPr>
        <w:t>($</w:t>
      </w:r>
      <w:r w:rsidR="009E4111">
        <w:rPr>
          <w:szCs w:val="24"/>
        </w:rPr>
        <w:t>5</w:t>
      </w:r>
      <w:r w:rsidR="001302C5">
        <w:rPr>
          <w:szCs w:val="24"/>
        </w:rPr>
        <w:t>,</w:t>
      </w:r>
      <w:r w:rsidR="009E4111">
        <w:rPr>
          <w:szCs w:val="24"/>
        </w:rPr>
        <w:t>280.8</w:t>
      </w:r>
      <w:r w:rsidR="00C42C04">
        <w:rPr>
          <w:szCs w:val="24"/>
        </w:rPr>
        <w:t>M – $</w:t>
      </w:r>
      <w:r w:rsidR="009E4111">
        <w:rPr>
          <w:szCs w:val="24"/>
        </w:rPr>
        <w:t>5</w:t>
      </w:r>
      <w:r w:rsidR="00391A7C">
        <w:rPr>
          <w:szCs w:val="24"/>
        </w:rPr>
        <w:t>,</w:t>
      </w:r>
      <w:r w:rsidR="009E4111">
        <w:rPr>
          <w:szCs w:val="24"/>
        </w:rPr>
        <w:t>275</w:t>
      </w:r>
      <w:r w:rsidR="00391A7C">
        <w:rPr>
          <w:szCs w:val="24"/>
        </w:rPr>
        <w:t>.</w:t>
      </w:r>
      <w:r w:rsidR="009E4111">
        <w:rPr>
          <w:szCs w:val="24"/>
        </w:rPr>
        <w:t>4</w:t>
      </w:r>
      <w:r w:rsidR="00C42C04">
        <w:rPr>
          <w:szCs w:val="24"/>
        </w:rPr>
        <w:t>M = $</w:t>
      </w:r>
      <w:r w:rsidR="009E4111">
        <w:rPr>
          <w:szCs w:val="24"/>
        </w:rPr>
        <w:t>5</w:t>
      </w:r>
      <w:r w:rsidR="00391A7C">
        <w:rPr>
          <w:szCs w:val="24"/>
        </w:rPr>
        <w:t>.</w:t>
      </w:r>
      <w:r w:rsidR="009E4111">
        <w:rPr>
          <w:szCs w:val="24"/>
        </w:rPr>
        <w:t>4</w:t>
      </w:r>
      <w:r w:rsidR="00C42C04">
        <w:rPr>
          <w:szCs w:val="24"/>
        </w:rPr>
        <w:t xml:space="preserve">M) </w:t>
      </w:r>
      <w:r>
        <w:rPr>
          <w:szCs w:val="24"/>
        </w:rPr>
        <w:t>that is greater than the decrease in VaR8</w:t>
      </w:r>
      <w:r w:rsidR="00391A7C">
        <w:rPr>
          <w:szCs w:val="24"/>
        </w:rPr>
        <w:t>5</w:t>
      </w:r>
      <w:r w:rsidR="00C42C04">
        <w:rPr>
          <w:szCs w:val="24"/>
        </w:rPr>
        <w:t xml:space="preserve"> ($</w:t>
      </w:r>
      <w:r w:rsidR="009E4111">
        <w:rPr>
          <w:szCs w:val="24"/>
        </w:rPr>
        <w:t>459.2</w:t>
      </w:r>
      <w:r w:rsidR="00C42C04">
        <w:rPr>
          <w:szCs w:val="24"/>
        </w:rPr>
        <w:t>M – $</w:t>
      </w:r>
      <w:r w:rsidR="009E4111">
        <w:rPr>
          <w:szCs w:val="24"/>
        </w:rPr>
        <w:t>463.9</w:t>
      </w:r>
      <w:r w:rsidR="00C42C04">
        <w:rPr>
          <w:szCs w:val="24"/>
        </w:rPr>
        <w:t>M = $</w:t>
      </w:r>
      <w:r w:rsidR="004F505E">
        <w:rPr>
          <w:szCs w:val="24"/>
        </w:rPr>
        <w:t>-</w:t>
      </w:r>
      <w:r w:rsidR="009E4111">
        <w:rPr>
          <w:szCs w:val="24"/>
        </w:rPr>
        <w:t>4.7</w:t>
      </w:r>
      <w:r w:rsidR="00391A7C">
        <w:rPr>
          <w:szCs w:val="24"/>
        </w:rPr>
        <w:t>M</w:t>
      </w:r>
      <w:r w:rsidR="00C42C04">
        <w:rPr>
          <w:szCs w:val="24"/>
        </w:rPr>
        <w:t>)</w:t>
      </w:r>
      <w:r>
        <w:rPr>
          <w:szCs w:val="24"/>
        </w:rPr>
        <w:t>.</w:t>
      </w:r>
      <w:r w:rsidR="00A648A6">
        <w:rPr>
          <w:szCs w:val="24"/>
        </w:rPr>
        <w:t xml:space="preserve"> </w:t>
      </w:r>
      <w:r w:rsidR="00AC147E">
        <w:rPr>
          <w:szCs w:val="24"/>
        </w:rPr>
        <w:t>Thus, 2</w:t>
      </w:r>
      <w:r w:rsidR="009E4111">
        <w:rPr>
          <w:szCs w:val="24"/>
        </w:rPr>
        <w:t>5</w:t>
      </w:r>
      <w:r w:rsidR="00391A7C">
        <w:rPr>
          <w:szCs w:val="24"/>
        </w:rPr>
        <w:t>.</w:t>
      </w:r>
      <w:r w:rsidR="009E4111">
        <w:rPr>
          <w:szCs w:val="24"/>
        </w:rPr>
        <w:t>0</w:t>
      </w:r>
      <w:r w:rsidR="00391A7C">
        <w:rPr>
          <w:szCs w:val="24"/>
        </w:rPr>
        <w:t>0</w:t>
      </w:r>
      <w:r w:rsidR="00AC147E">
        <w:rPr>
          <w:szCs w:val="24"/>
        </w:rPr>
        <w:t>% represents the EORM at the 8</w:t>
      </w:r>
      <w:r w:rsidR="00391A7C">
        <w:rPr>
          <w:szCs w:val="24"/>
        </w:rPr>
        <w:t>5</w:t>
      </w:r>
      <w:r w:rsidR="00AC147E" w:rsidRPr="00467F98">
        <w:rPr>
          <w:szCs w:val="24"/>
          <w:vertAlign w:val="superscript"/>
        </w:rPr>
        <w:t>th</w:t>
      </w:r>
      <w:r w:rsidR="00AC147E">
        <w:rPr>
          <w:szCs w:val="24"/>
        </w:rPr>
        <w:t xml:space="preserve"> percentile of risk.</w:t>
      </w:r>
      <w:r>
        <w:rPr>
          <w:szCs w:val="24"/>
        </w:rPr>
        <w:t xml:space="preserve"> Compared to the expected case TRM of </w:t>
      </w:r>
      <w:r w:rsidR="00C05C5E">
        <w:rPr>
          <w:szCs w:val="24"/>
        </w:rPr>
        <w:t>2</w:t>
      </w:r>
      <w:r w:rsidR="009E4111">
        <w:rPr>
          <w:szCs w:val="24"/>
        </w:rPr>
        <w:t>2</w:t>
      </w:r>
      <w:r w:rsidR="004F505E">
        <w:rPr>
          <w:szCs w:val="24"/>
        </w:rPr>
        <w:t>.</w:t>
      </w:r>
      <w:r w:rsidR="009E4111">
        <w:rPr>
          <w:szCs w:val="24"/>
        </w:rPr>
        <w:t>7</w:t>
      </w:r>
      <w:r w:rsidR="004F505E">
        <w:rPr>
          <w:szCs w:val="24"/>
        </w:rPr>
        <w:t>5</w:t>
      </w:r>
      <w:r w:rsidR="00C05C5E" w:rsidRPr="00372AC4">
        <w:rPr>
          <w:szCs w:val="24"/>
        </w:rPr>
        <w:t>%</w:t>
      </w:r>
      <w:r>
        <w:rPr>
          <w:szCs w:val="24"/>
        </w:rPr>
        <w:t xml:space="preserve">, </w:t>
      </w:r>
      <w:r w:rsidR="00C05C5E" w:rsidRPr="00372AC4">
        <w:rPr>
          <w:szCs w:val="24"/>
        </w:rPr>
        <w:t xml:space="preserve">a </w:t>
      </w:r>
      <w:r w:rsidR="00C05C5E">
        <w:rPr>
          <w:szCs w:val="24"/>
        </w:rPr>
        <w:t>2</w:t>
      </w:r>
      <w:r w:rsidR="00F62C1B">
        <w:rPr>
          <w:szCs w:val="24"/>
        </w:rPr>
        <w:t>5</w:t>
      </w:r>
      <w:r w:rsidR="00391A7C">
        <w:rPr>
          <w:szCs w:val="24"/>
        </w:rPr>
        <w:t>.</w:t>
      </w:r>
      <w:r w:rsidR="00F62C1B">
        <w:rPr>
          <w:szCs w:val="24"/>
        </w:rPr>
        <w:t>0</w:t>
      </w:r>
      <w:r w:rsidR="00391A7C">
        <w:rPr>
          <w:szCs w:val="24"/>
        </w:rPr>
        <w:t>0</w:t>
      </w:r>
      <w:r w:rsidR="00C05C5E" w:rsidRPr="00372AC4">
        <w:rPr>
          <w:szCs w:val="24"/>
        </w:rPr>
        <w:t xml:space="preserve">% </w:t>
      </w:r>
      <w:r w:rsidR="00C05C5E" w:rsidRPr="000D7831">
        <w:rPr>
          <w:szCs w:val="24"/>
        </w:rPr>
        <w:t xml:space="preserve">reserve margin reduces the </w:t>
      </w:r>
      <w:r>
        <w:rPr>
          <w:szCs w:val="24"/>
        </w:rPr>
        <w:t>VaR8</w:t>
      </w:r>
      <w:r w:rsidR="00391A7C">
        <w:rPr>
          <w:szCs w:val="24"/>
        </w:rPr>
        <w:t>5</w:t>
      </w:r>
      <w:r>
        <w:rPr>
          <w:szCs w:val="24"/>
        </w:rPr>
        <w:t xml:space="preserve"> </w:t>
      </w:r>
      <w:r w:rsidR="00C05C5E" w:rsidRPr="000D7831">
        <w:rPr>
          <w:szCs w:val="24"/>
        </w:rPr>
        <w:t>exposure by $</w:t>
      </w:r>
      <w:r w:rsidR="00F62C1B">
        <w:rPr>
          <w:szCs w:val="24"/>
        </w:rPr>
        <w:t>62.1</w:t>
      </w:r>
      <w:r w:rsidRPr="004B49A6">
        <w:rPr>
          <w:szCs w:val="24"/>
        </w:rPr>
        <w:t>M</w:t>
      </w:r>
      <w:r w:rsidR="00C05C5E">
        <w:rPr>
          <w:szCs w:val="24"/>
        </w:rPr>
        <w:t>/year</w:t>
      </w:r>
      <w:r w:rsidR="00954832">
        <w:rPr>
          <w:szCs w:val="24"/>
        </w:rPr>
        <w:t>,</w:t>
      </w:r>
      <w:r w:rsidR="00C05C5E" w:rsidRPr="000D7831">
        <w:rPr>
          <w:szCs w:val="24"/>
        </w:rPr>
        <w:t xml:space="preserve"> while increasing the </w:t>
      </w:r>
      <w:r>
        <w:rPr>
          <w:szCs w:val="24"/>
        </w:rPr>
        <w:t>expected case</w:t>
      </w:r>
      <w:r w:rsidRPr="000D7831">
        <w:rPr>
          <w:szCs w:val="24"/>
        </w:rPr>
        <w:t xml:space="preserve"> </w:t>
      </w:r>
      <w:r w:rsidR="00C05C5E" w:rsidRPr="000D7831">
        <w:rPr>
          <w:szCs w:val="24"/>
        </w:rPr>
        <w:t>cost by $</w:t>
      </w:r>
      <w:r w:rsidR="00F62C1B">
        <w:rPr>
          <w:szCs w:val="24"/>
        </w:rPr>
        <w:t>26.1</w:t>
      </w:r>
      <w:r w:rsidR="00C05C5E" w:rsidRPr="004B49A6">
        <w:rPr>
          <w:szCs w:val="24"/>
        </w:rPr>
        <w:t>M</w:t>
      </w:r>
      <w:r w:rsidR="00C05C5E">
        <w:rPr>
          <w:szCs w:val="24"/>
        </w:rPr>
        <w:t>/year</w:t>
      </w:r>
      <w:r w:rsidR="00C05C5E" w:rsidRPr="000D7831">
        <w:rPr>
          <w:szCs w:val="24"/>
        </w:rPr>
        <w:t>.</w:t>
      </w:r>
      <w:r w:rsidR="00C05C5E">
        <w:rPr>
          <w:szCs w:val="24"/>
        </w:rPr>
        <w:t xml:space="preserve"> </w:t>
      </w:r>
      <w:r w:rsidR="00391A7C">
        <w:rPr>
          <w:szCs w:val="24"/>
        </w:rPr>
        <w:t>Lower and h</w:t>
      </w:r>
      <w:r w:rsidR="008A4AE5">
        <w:rPr>
          <w:szCs w:val="24"/>
        </w:rPr>
        <w:t xml:space="preserve">igher confidence intervals were also examined. </w:t>
      </w:r>
      <w:r w:rsidR="00AC147E">
        <w:rPr>
          <w:szCs w:val="24"/>
        </w:rPr>
        <w:t>At the</w:t>
      </w:r>
      <w:r>
        <w:rPr>
          <w:szCs w:val="24"/>
        </w:rPr>
        <w:t xml:space="preserve"> </w:t>
      </w:r>
      <w:r w:rsidR="00391A7C">
        <w:rPr>
          <w:szCs w:val="24"/>
        </w:rPr>
        <w:t>80</w:t>
      </w:r>
      <w:r w:rsidR="00391A7C" w:rsidRPr="00391A7C">
        <w:rPr>
          <w:szCs w:val="24"/>
          <w:vertAlign w:val="superscript"/>
        </w:rPr>
        <w:t>th</w:t>
      </w:r>
      <w:r w:rsidR="00391A7C">
        <w:rPr>
          <w:szCs w:val="24"/>
        </w:rPr>
        <w:t xml:space="preserve"> percentile of risk, it would be justifiable to establish a reserve margin of 2</w:t>
      </w:r>
      <w:r w:rsidR="00F62C1B">
        <w:rPr>
          <w:szCs w:val="24"/>
        </w:rPr>
        <w:t>4</w:t>
      </w:r>
      <w:r w:rsidR="00391A7C">
        <w:rPr>
          <w:szCs w:val="24"/>
        </w:rPr>
        <w:t xml:space="preserve">.00%. At the </w:t>
      </w:r>
      <w:r w:rsidR="00E44A80">
        <w:rPr>
          <w:szCs w:val="24"/>
        </w:rPr>
        <w:t>90</w:t>
      </w:r>
      <w:r w:rsidR="00E44A80" w:rsidRPr="004B49A6">
        <w:rPr>
          <w:szCs w:val="24"/>
          <w:vertAlign w:val="superscript"/>
        </w:rPr>
        <w:t>th</w:t>
      </w:r>
      <w:r w:rsidR="00E44A80">
        <w:rPr>
          <w:szCs w:val="24"/>
        </w:rPr>
        <w:t xml:space="preserve"> percentile of risk, it would be justifiable to establish a reserve margin </w:t>
      </w:r>
      <w:r w:rsidR="00AC147E">
        <w:rPr>
          <w:szCs w:val="24"/>
        </w:rPr>
        <w:t>of</w:t>
      </w:r>
      <w:r w:rsidR="00E44A80">
        <w:rPr>
          <w:szCs w:val="24"/>
        </w:rPr>
        <w:t xml:space="preserve"> </w:t>
      </w:r>
      <w:r w:rsidR="00F62C1B">
        <w:rPr>
          <w:szCs w:val="24"/>
        </w:rPr>
        <w:t>26.25</w:t>
      </w:r>
      <w:r w:rsidR="00E44A80">
        <w:rPr>
          <w:szCs w:val="24"/>
        </w:rPr>
        <w:t>%</w:t>
      </w:r>
      <w:r w:rsidR="00073CC6">
        <w:rPr>
          <w:szCs w:val="24"/>
        </w:rPr>
        <w:t xml:space="preserve">. </w:t>
      </w:r>
      <w:r w:rsidR="008A4AE5">
        <w:rPr>
          <w:szCs w:val="24"/>
        </w:rPr>
        <w:t>Likewise, a</w:t>
      </w:r>
      <w:r w:rsidR="00073CC6">
        <w:rPr>
          <w:szCs w:val="24"/>
        </w:rPr>
        <w:t>t the 95</w:t>
      </w:r>
      <w:r w:rsidR="00073CC6" w:rsidRPr="00B1366C">
        <w:rPr>
          <w:szCs w:val="24"/>
          <w:vertAlign w:val="superscript"/>
        </w:rPr>
        <w:t>th</w:t>
      </w:r>
      <w:r w:rsidR="00073CC6">
        <w:rPr>
          <w:szCs w:val="24"/>
        </w:rPr>
        <w:t xml:space="preserve"> percentile of risk, it would be justifiable to establish </w:t>
      </w:r>
      <w:r w:rsidR="008A4AE5">
        <w:rPr>
          <w:szCs w:val="24"/>
        </w:rPr>
        <w:t xml:space="preserve">a reserve margin </w:t>
      </w:r>
      <w:r w:rsidR="00AC147E">
        <w:rPr>
          <w:szCs w:val="24"/>
        </w:rPr>
        <w:t>of</w:t>
      </w:r>
      <w:r w:rsidR="008A4AE5">
        <w:rPr>
          <w:szCs w:val="24"/>
        </w:rPr>
        <w:t xml:space="preserve"> </w:t>
      </w:r>
      <w:r w:rsidR="00F62C1B">
        <w:rPr>
          <w:szCs w:val="24"/>
        </w:rPr>
        <w:t>28.25</w:t>
      </w:r>
      <w:r w:rsidR="00073CC6">
        <w:rPr>
          <w:szCs w:val="24"/>
        </w:rPr>
        <w:t>%.</w:t>
      </w:r>
      <w:r w:rsidR="003B0B66">
        <w:rPr>
          <w:szCs w:val="24"/>
        </w:rPr>
        <w:t xml:space="preserve"> </w:t>
      </w:r>
      <w:r w:rsidR="00D802D4">
        <w:rPr>
          <w:szCs w:val="24"/>
        </w:rPr>
        <w:t>While a Winter Target Reserve Margin greater than 25.</w:t>
      </w:r>
      <w:r w:rsidR="003B0B66">
        <w:rPr>
          <w:szCs w:val="24"/>
        </w:rPr>
        <w:t>7</w:t>
      </w:r>
      <w:r w:rsidR="00D802D4">
        <w:rPr>
          <w:szCs w:val="24"/>
        </w:rPr>
        <w:t xml:space="preserve">5%, </w:t>
      </w:r>
      <w:r w:rsidR="00ED6869">
        <w:rPr>
          <w:szCs w:val="24"/>
        </w:rPr>
        <w:t xml:space="preserve">the </w:t>
      </w:r>
      <w:r w:rsidR="00D802D4">
        <w:rPr>
          <w:szCs w:val="24"/>
        </w:rPr>
        <w:t>1:10 LOLE minimum threshold</w:t>
      </w:r>
      <w:r w:rsidR="00ED6869">
        <w:rPr>
          <w:szCs w:val="24"/>
        </w:rPr>
        <w:t>,</w:t>
      </w:r>
      <w:r w:rsidR="00D802D4">
        <w:rPr>
          <w:szCs w:val="24"/>
        </w:rPr>
        <w:t xml:space="preserve"> is justifiable from a cost/risk reduction perspective at the 90</w:t>
      </w:r>
      <w:r w:rsidR="00D802D4" w:rsidRPr="00D802D4">
        <w:rPr>
          <w:szCs w:val="24"/>
          <w:vertAlign w:val="superscript"/>
        </w:rPr>
        <w:t>th</w:t>
      </w:r>
      <w:r w:rsidR="00D802D4">
        <w:rPr>
          <w:szCs w:val="24"/>
        </w:rPr>
        <w:t xml:space="preserve"> or 95</w:t>
      </w:r>
      <w:r w:rsidR="00D802D4" w:rsidRPr="00D802D4">
        <w:rPr>
          <w:szCs w:val="24"/>
          <w:vertAlign w:val="superscript"/>
        </w:rPr>
        <w:t>th</w:t>
      </w:r>
      <w:r w:rsidR="00D802D4">
        <w:rPr>
          <w:szCs w:val="24"/>
        </w:rPr>
        <w:t xml:space="preserve"> confidence interval</w:t>
      </w:r>
      <w:r w:rsidR="003B0B66">
        <w:rPr>
          <w:szCs w:val="24"/>
        </w:rPr>
        <w:t>s</w:t>
      </w:r>
      <w:r w:rsidR="00D802D4">
        <w:rPr>
          <w:szCs w:val="24"/>
        </w:rPr>
        <w:t xml:space="preserve">, the </w:t>
      </w:r>
      <w:r w:rsidR="00D77C4D">
        <w:rPr>
          <w:szCs w:val="24"/>
        </w:rPr>
        <w:t xml:space="preserve">small </w:t>
      </w:r>
      <w:r w:rsidR="00D802D4">
        <w:rPr>
          <w:szCs w:val="24"/>
        </w:rPr>
        <w:t xml:space="preserve">absolute increase in expected costs suggests that </w:t>
      </w:r>
      <w:r w:rsidR="003B0B66">
        <w:rPr>
          <w:szCs w:val="24"/>
        </w:rPr>
        <w:t>the current Target Reserve Margin of 26% remains appropriate.</w:t>
      </w:r>
    </w:p>
    <w:p w14:paraId="3B9C6A82" w14:textId="77777777" w:rsidR="008E1F8B" w:rsidRDefault="008E1F8B" w:rsidP="00073CC6">
      <w:pPr>
        <w:rPr>
          <w:szCs w:val="24"/>
        </w:rPr>
      </w:pPr>
    </w:p>
    <w:p w14:paraId="61DAFDC5" w14:textId="77777777" w:rsidR="00AF1A29" w:rsidRDefault="00AF1A29" w:rsidP="00A76839">
      <w:pPr>
        <w:pStyle w:val="Heading2"/>
        <w:numPr>
          <w:ilvl w:val="1"/>
          <w:numId w:val="13"/>
        </w:numPr>
        <w:ind w:left="360"/>
      </w:pPr>
      <w:bookmarkStart w:id="395" w:name="_Toc513710357"/>
      <w:bookmarkStart w:id="396" w:name="_Toc187234618"/>
      <w:r>
        <w:t>Loss of Load Expectation</w:t>
      </w:r>
      <w:bookmarkEnd w:id="395"/>
      <w:bookmarkEnd w:id="396"/>
    </w:p>
    <w:p w14:paraId="08F58837" w14:textId="774AE681" w:rsidR="00AF1A29" w:rsidRDefault="00AF1A29" w:rsidP="00AF1A29">
      <w:pPr>
        <w:rPr>
          <w:szCs w:val="24"/>
        </w:rPr>
      </w:pPr>
      <w:r w:rsidRPr="00B138F0">
        <w:rPr>
          <w:szCs w:val="24"/>
        </w:rPr>
        <w:t xml:space="preserve">LOLE is </w:t>
      </w:r>
      <w:r>
        <w:rPr>
          <w:szCs w:val="24"/>
        </w:rPr>
        <w:t xml:space="preserve">the </w:t>
      </w:r>
      <w:r w:rsidR="000725A9">
        <w:rPr>
          <w:szCs w:val="24"/>
        </w:rPr>
        <w:t>probabilistic</w:t>
      </w:r>
      <w:r w:rsidRPr="00B138F0">
        <w:rPr>
          <w:szCs w:val="24"/>
        </w:rPr>
        <w:t xml:space="preserve"> count of the number of days in </w:t>
      </w:r>
      <w:r w:rsidR="00A369EB">
        <w:rPr>
          <w:szCs w:val="24"/>
        </w:rPr>
        <w:t>the</w:t>
      </w:r>
      <w:r w:rsidRPr="00B138F0">
        <w:rPr>
          <w:szCs w:val="24"/>
        </w:rPr>
        <w:t xml:space="preserve"> study year in which the system experience</w:t>
      </w:r>
      <w:r>
        <w:rPr>
          <w:szCs w:val="24"/>
        </w:rPr>
        <w:t>s</w:t>
      </w:r>
      <w:r w:rsidRPr="00B138F0">
        <w:rPr>
          <w:szCs w:val="24"/>
        </w:rPr>
        <w:t xml:space="preserve"> firm load shed of any duration. T</w:t>
      </w:r>
      <w:r w:rsidRPr="00372AC4">
        <w:rPr>
          <w:szCs w:val="24"/>
        </w:rPr>
        <w:t xml:space="preserve">his metric does not measure the magnitude of the event and is sensitive to </w:t>
      </w:r>
      <w:r w:rsidR="00F04203" w:rsidRPr="00372AC4">
        <w:rPr>
          <w:szCs w:val="24"/>
        </w:rPr>
        <w:t>several</w:t>
      </w:r>
      <w:r w:rsidRPr="00372AC4">
        <w:rPr>
          <w:szCs w:val="24"/>
        </w:rPr>
        <w:t xml:space="preserve"> input assumptions.</w:t>
      </w:r>
      <w:r>
        <w:rPr>
          <w:szCs w:val="24"/>
        </w:rPr>
        <w:t xml:space="preserve"> </w:t>
      </w:r>
      <w:r w:rsidR="003D66A2">
        <w:rPr>
          <w:szCs w:val="24"/>
        </w:rPr>
        <w:t xml:space="preserve">When utilizing this metric, the industry standard target value </w:t>
      </w:r>
      <w:r>
        <w:rPr>
          <w:szCs w:val="24"/>
        </w:rPr>
        <w:t xml:space="preserve">is </w:t>
      </w:r>
      <w:r w:rsidR="003A3681">
        <w:rPr>
          <w:szCs w:val="24"/>
        </w:rPr>
        <w:t>a</w:t>
      </w:r>
      <w:r>
        <w:rPr>
          <w:szCs w:val="24"/>
        </w:rPr>
        <w:t xml:space="preserve"> LOLE value of 0.1 days per year, which is sometimes referred to as a</w:t>
      </w:r>
      <w:r w:rsidRPr="00372AC4">
        <w:rPr>
          <w:szCs w:val="24"/>
        </w:rPr>
        <w:t xml:space="preserve"> one day in </w:t>
      </w:r>
      <w:r>
        <w:rPr>
          <w:szCs w:val="24"/>
        </w:rPr>
        <w:t>ten</w:t>
      </w:r>
      <w:r w:rsidRPr="00372AC4">
        <w:rPr>
          <w:szCs w:val="24"/>
        </w:rPr>
        <w:t xml:space="preserve"> years </w:t>
      </w:r>
      <w:r>
        <w:rPr>
          <w:szCs w:val="24"/>
        </w:rPr>
        <w:t>(1:10</w:t>
      </w:r>
      <w:r w:rsidR="00F04203">
        <w:rPr>
          <w:szCs w:val="24"/>
        </w:rPr>
        <w:t xml:space="preserve"> LOLE</w:t>
      </w:r>
      <w:r>
        <w:rPr>
          <w:szCs w:val="24"/>
        </w:rPr>
        <w:t xml:space="preserve">) </w:t>
      </w:r>
      <w:r w:rsidRPr="00372AC4">
        <w:rPr>
          <w:szCs w:val="24"/>
        </w:rPr>
        <w:t>reliability</w:t>
      </w:r>
      <w:r>
        <w:rPr>
          <w:szCs w:val="24"/>
        </w:rPr>
        <w:t xml:space="preserve"> criteri</w:t>
      </w:r>
      <w:r w:rsidR="005F1357">
        <w:rPr>
          <w:szCs w:val="24"/>
        </w:rPr>
        <w:t>on</w:t>
      </w:r>
      <w:r>
        <w:rPr>
          <w:szCs w:val="24"/>
        </w:rPr>
        <w:t>.</w:t>
      </w:r>
      <w:r w:rsidR="005F1357">
        <w:rPr>
          <w:szCs w:val="24"/>
        </w:rPr>
        <w:t xml:space="preserve"> </w:t>
      </w:r>
      <w:r w:rsidR="003A3681">
        <w:rPr>
          <w:szCs w:val="24"/>
        </w:rPr>
        <w:t>A</w:t>
      </w:r>
      <w:r>
        <w:rPr>
          <w:szCs w:val="24"/>
        </w:rPr>
        <w:t xml:space="preserve"> LOLE of 0.1 days per year presumes there is a 10% probability of a loss of load due to generation shortfall in any one year</w:t>
      </w:r>
      <w:r w:rsidR="005B2447">
        <w:rPr>
          <w:szCs w:val="24"/>
        </w:rPr>
        <w:t xml:space="preserve"> in a 10 year span</w:t>
      </w:r>
      <w:r w:rsidR="00954832">
        <w:rPr>
          <w:szCs w:val="24"/>
        </w:rPr>
        <w:t>,</w:t>
      </w:r>
      <w:r>
        <w:rPr>
          <w:szCs w:val="24"/>
        </w:rPr>
        <w:t xml:space="preserve"> or an expectation that there would only be one loss of load event every 10 years.</w:t>
      </w:r>
      <w:r w:rsidR="00A648A6">
        <w:rPr>
          <w:szCs w:val="24"/>
        </w:rPr>
        <w:t xml:space="preserve"> </w:t>
      </w:r>
    </w:p>
    <w:p w14:paraId="746D94C9" w14:textId="77777777" w:rsidR="005B2447" w:rsidRDefault="005B2447" w:rsidP="005B2447">
      <w:pPr>
        <w:rPr>
          <w:szCs w:val="24"/>
        </w:rPr>
      </w:pPr>
    </w:p>
    <w:p w14:paraId="26D95163" w14:textId="4288621B" w:rsidR="005B2447" w:rsidRPr="005B2447" w:rsidRDefault="00E91D43" w:rsidP="005B2447">
      <w:r w:rsidRPr="20DA8EB8">
        <w:t>Except for</w:t>
      </w:r>
      <w:r w:rsidR="005B2447" w:rsidRPr="20DA8EB8">
        <w:t xml:space="preserve"> the 20</w:t>
      </w:r>
      <w:r w:rsidR="00DC092F">
        <w:t>18</w:t>
      </w:r>
      <w:r w:rsidR="005B2447" w:rsidRPr="20DA8EB8">
        <w:t xml:space="preserve"> Reserve Margin Study, th</w:t>
      </w:r>
      <w:r w:rsidR="00AE5F24" w:rsidRPr="20DA8EB8">
        <w:t xml:space="preserve">e </w:t>
      </w:r>
      <w:r w:rsidR="007D767C" w:rsidRPr="20DA8EB8">
        <w:t>annual</w:t>
      </w:r>
      <w:r w:rsidR="005B2447" w:rsidRPr="20DA8EB8">
        <w:t xml:space="preserve"> 1:10 LOLE</w:t>
      </w:r>
      <w:r w:rsidR="006312B2" w:rsidRPr="20DA8EB8">
        <w:t xml:space="preserve"> threshold</w:t>
      </w:r>
      <w:r w:rsidR="005B2447" w:rsidRPr="005B2447">
        <w:rPr>
          <w:szCs w:val="24"/>
        </w:rPr>
        <w:t xml:space="preserve"> </w:t>
      </w:r>
      <w:r w:rsidR="006312B2" w:rsidRPr="20DA8EB8">
        <w:t xml:space="preserve">within the Southern Company System has historically </w:t>
      </w:r>
      <w:r w:rsidR="005B2447" w:rsidRPr="20DA8EB8">
        <w:t xml:space="preserve">occurred at reserve margins </w:t>
      </w:r>
      <w:r w:rsidR="00DC092F">
        <w:t>at or below</w:t>
      </w:r>
      <w:r w:rsidR="005B2447" w:rsidRPr="20DA8EB8">
        <w:t xml:space="preserve"> the EORM. Thus, </w:t>
      </w:r>
      <w:r w:rsidR="00DC092F">
        <w:t xml:space="preserve">EORM and the risk-adjusted EORM have historically been the </w:t>
      </w:r>
      <w:r w:rsidR="005B2447" w:rsidRPr="20DA8EB8">
        <w:t xml:space="preserve">primary focus </w:t>
      </w:r>
      <w:r w:rsidR="00DC092F">
        <w:t>when determining</w:t>
      </w:r>
      <w:r w:rsidR="005B2447" w:rsidRPr="20DA8EB8">
        <w:t xml:space="preserve"> the TRM. However, as</w:t>
      </w:r>
      <w:r w:rsidR="006926D9">
        <w:t xml:space="preserve"> </w:t>
      </w:r>
      <w:r w:rsidR="005B2447" w:rsidRPr="20DA8EB8">
        <w:t xml:space="preserve">the Company continues to </w:t>
      </w:r>
      <w:r w:rsidR="00A6016A">
        <w:t xml:space="preserve">update </w:t>
      </w:r>
      <w:r w:rsidR="005B2447" w:rsidRPr="20DA8EB8">
        <w:t>reliability risks in its modeling</w:t>
      </w:r>
      <w:r w:rsidR="006312B2" w:rsidRPr="20DA8EB8">
        <w:t>, the 2024 analysis has indicated that the LOLE for the System, particularly in the Winter season</w:t>
      </w:r>
      <w:r w:rsidR="0063045F">
        <w:t>,</w:t>
      </w:r>
      <w:r w:rsidR="006312B2" w:rsidRPr="20DA8EB8">
        <w:t xml:space="preserve"> is higher than in years past. </w:t>
      </w:r>
      <w:r w:rsidR="005B2447" w:rsidRPr="20DA8EB8">
        <w:t>Thus, the reserve margin necessary to maintain the 1:10 LOLE threshold is also higher</w:t>
      </w:r>
      <w:r w:rsidR="009E655F">
        <w:t>. S</w:t>
      </w:r>
      <w:r w:rsidR="00DC092F">
        <w:t>imilar to</w:t>
      </w:r>
      <w:r w:rsidR="009E655F">
        <w:t xml:space="preserve"> the</w:t>
      </w:r>
      <w:r w:rsidR="00DC092F">
        <w:t xml:space="preserve"> 2018</w:t>
      </w:r>
      <w:r w:rsidR="009E655F">
        <w:t xml:space="preserve"> Reserve Margin Study</w:t>
      </w:r>
      <w:r w:rsidR="00DC092F">
        <w:t>, the 1:10 LOLE threshold in the 2024 Reserve Margin Study also exceed</w:t>
      </w:r>
      <w:r w:rsidR="008E1F8B">
        <w:t>s</w:t>
      </w:r>
      <w:r w:rsidR="00DC092F">
        <w:t xml:space="preserve"> the EORM.</w:t>
      </w:r>
    </w:p>
    <w:p w14:paraId="0D919E89" w14:textId="476059D1" w:rsidR="005B2447" w:rsidRPr="005B2447" w:rsidRDefault="005B2447" w:rsidP="005B2447"/>
    <w:p w14:paraId="077FC9A4" w14:textId="24A8FCE8" w:rsidR="00B635B2" w:rsidRDefault="2F43830C" w:rsidP="005B2447">
      <w:r w:rsidRPr="20DA8EB8">
        <w:t>There are two primary drivers for th</w:t>
      </w:r>
      <w:r w:rsidR="39E051A1" w:rsidRPr="20DA8EB8">
        <w:t>e</w:t>
      </w:r>
      <w:r w:rsidRPr="20DA8EB8">
        <w:t xml:space="preserve"> increased winter </w:t>
      </w:r>
      <w:r w:rsidR="3128A4C4" w:rsidRPr="20DA8EB8">
        <w:t>LOLE</w:t>
      </w:r>
      <w:r w:rsidR="6E37CD16" w:rsidRPr="20DA8EB8">
        <w:t xml:space="preserve">. </w:t>
      </w:r>
      <w:r w:rsidR="14E9DC95" w:rsidRPr="20DA8EB8">
        <w:t>The first</w:t>
      </w:r>
      <w:r w:rsidR="000050A3">
        <w:t xml:space="preserve"> driver</w:t>
      </w:r>
      <w:r w:rsidR="14E9DC95" w:rsidRPr="20DA8EB8">
        <w:t xml:space="preserve"> is </w:t>
      </w:r>
      <w:r w:rsidR="6E37CD16" w:rsidRPr="20DA8EB8">
        <w:t>increased</w:t>
      </w:r>
      <w:r w:rsidR="35C94AEF" w:rsidRPr="20DA8EB8">
        <w:t xml:space="preserve"> peak</w:t>
      </w:r>
      <w:r w:rsidR="6E37CD16" w:rsidRPr="20DA8EB8">
        <w:t xml:space="preserve"> v</w:t>
      </w:r>
      <w:r w:rsidR="3128A4C4" w:rsidRPr="20DA8EB8">
        <w:t>olatility</w:t>
      </w:r>
      <w:r w:rsidR="448F702A" w:rsidRPr="20DA8EB8">
        <w:t xml:space="preserve">. As </w:t>
      </w:r>
      <w:r w:rsidR="000050A3">
        <w:t>illustrated</w:t>
      </w:r>
      <w:r w:rsidR="448F702A" w:rsidRPr="20DA8EB8">
        <w:t xml:space="preserve"> in </w:t>
      </w:r>
      <w:r w:rsidR="00E91D43">
        <w:fldChar w:fldCharType="begin"/>
      </w:r>
      <w:r w:rsidR="00E91D43">
        <w:instrText xml:space="preserve"> REF _Ref83891869 \h </w:instrText>
      </w:r>
      <w:r w:rsidR="00E91D43">
        <w:fldChar w:fldCharType="separate"/>
      </w:r>
      <w:r w:rsidR="00E91D43">
        <w:t xml:space="preserve">Figure </w:t>
      </w:r>
      <w:r w:rsidR="00E91D43">
        <w:rPr>
          <w:noProof/>
        </w:rPr>
        <w:t>I</w:t>
      </w:r>
      <w:r w:rsidR="00E91D43">
        <w:t>.</w:t>
      </w:r>
      <w:r w:rsidR="00E91D43">
        <w:rPr>
          <w:noProof/>
        </w:rPr>
        <w:t>3</w:t>
      </w:r>
      <w:r w:rsidR="00E91D43">
        <w:fldChar w:fldCharType="end"/>
      </w:r>
      <w:r w:rsidR="448F702A" w:rsidRPr="20DA8EB8">
        <w:t>, modeled peak demand c</w:t>
      </w:r>
      <w:r w:rsidR="00305CA0">
        <w:t xml:space="preserve">ould reach </w:t>
      </w:r>
      <w:r w:rsidR="448F702A" w:rsidRPr="20DA8EB8">
        <w:t xml:space="preserve">24.5% above the weather normal </w:t>
      </w:r>
      <w:r w:rsidR="216751E8" w:rsidRPr="20DA8EB8">
        <w:t>forecasted peak</w:t>
      </w:r>
      <w:r w:rsidR="007728D0">
        <w:t>,</w:t>
      </w:r>
      <w:r w:rsidR="2DED6E2E" w:rsidRPr="20DA8EB8">
        <w:t xml:space="preserve"> compared to the 19.6% modeled in the 2021 Reserve Margin Study</w:t>
      </w:r>
      <w:r w:rsidR="216751E8" w:rsidRPr="20DA8EB8">
        <w:t>.</w:t>
      </w:r>
      <w:r w:rsidR="17092D80" w:rsidRPr="20DA8EB8">
        <w:t xml:space="preserve"> The second, and more impactful</w:t>
      </w:r>
      <w:r w:rsidR="32EF2439" w:rsidRPr="20DA8EB8">
        <w:t xml:space="preserve"> winter</w:t>
      </w:r>
      <w:r w:rsidR="00C70E84">
        <w:t xml:space="preserve"> risk</w:t>
      </w:r>
      <w:r w:rsidR="17092D80" w:rsidRPr="20DA8EB8">
        <w:t xml:space="preserve"> driver is sustained</w:t>
      </w:r>
      <w:r w:rsidR="074866E1" w:rsidRPr="20DA8EB8">
        <w:t xml:space="preserve"> load during </w:t>
      </w:r>
      <w:r w:rsidR="1D2B811B" w:rsidRPr="20DA8EB8">
        <w:t xml:space="preserve">overnight hours. </w:t>
      </w:r>
      <w:r w:rsidR="7FCA60E8" w:rsidRPr="20DA8EB8">
        <w:t>In previous studies</w:t>
      </w:r>
      <w:r w:rsidR="1D2B811B" w:rsidRPr="20DA8EB8">
        <w:t xml:space="preserve">, </w:t>
      </w:r>
      <w:r w:rsidR="0BCAC7EC" w:rsidRPr="20DA8EB8">
        <w:t xml:space="preserve">winter </w:t>
      </w:r>
      <w:r w:rsidR="1D2B811B" w:rsidRPr="20DA8EB8">
        <w:t xml:space="preserve">reliability risk dropped during </w:t>
      </w:r>
      <w:r w:rsidR="7CA98562" w:rsidRPr="20DA8EB8">
        <w:t xml:space="preserve">evening and </w:t>
      </w:r>
      <w:r w:rsidR="1D2B811B" w:rsidRPr="20DA8EB8">
        <w:t xml:space="preserve">overnight hours, </w:t>
      </w:r>
      <w:r w:rsidR="00495469">
        <w:t xml:space="preserve">rising again </w:t>
      </w:r>
      <w:r w:rsidR="00E56C2B">
        <w:t>early in the morning just before sunrise</w:t>
      </w:r>
      <w:r w:rsidR="71C21576" w:rsidRPr="20DA8EB8">
        <w:t>.</w:t>
      </w:r>
      <w:r w:rsidR="1DEC95D8" w:rsidRPr="20DA8EB8">
        <w:t xml:space="preserve"> Driven by customer load patterns </w:t>
      </w:r>
      <w:r w:rsidR="642006BF" w:rsidRPr="20DA8EB8">
        <w:t xml:space="preserve">observed </w:t>
      </w:r>
      <w:r w:rsidR="1DEC95D8" w:rsidRPr="20DA8EB8">
        <w:t>during</w:t>
      </w:r>
      <w:r w:rsidR="6B03029C" w:rsidRPr="20DA8EB8">
        <w:t xml:space="preserve"> recent</w:t>
      </w:r>
      <w:r w:rsidR="1DEC95D8" w:rsidRPr="20DA8EB8">
        <w:t xml:space="preserve"> col</w:t>
      </w:r>
      <w:r w:rsidR="610A3C4F" w:rsidRPr="20DA8EB8">
        <w:t>d weather events, reliability risk</w:t>
      </w:r>
      <w:r w:rsidR="1BDC20CF" w:rsidRPr="20DA8EB8">
        <w:t xml:space="preserve"> now</w:t>
      </w:r>
      <w:r w:rsidR="610A3C4F" w:rsidRPr="20DA8EB8">
        <w:t xml:space="preserve"> remains high in the evening and throughout the night. The</w:t>
      </w:r>
      <w:r w:rsidR="2F45461E" w:rsidRPr="20DA8EB8">
        <w:t xml:space="preserve"> off-peak</w:t>
      </w:r>
      <w:r w:rsidR="610A3C4F" w:rsidRPr="20DA8EB8">
        <w:t xml:space="preserve"> </w:t>
      </w:r>
      <w:r w:rsidR="238C2C4E" w:rsidRPr="20DA8EB8">
        <w:t xml:space="preserve">load </w:t>
      </w:r>
      <w:r w:rsidR="79B7C28C" w:rsidRPr="20DA8EB8">
        <w:t xml:space="preserve">troughs </w:t>
      </w:r>
      <w:r w:rsidR="7A8D44D4" w:rsidRPr="20DA8EB8">
        <w:t>are</w:t>
      </w:r>
      <w:r w:rsidR="350FE341" w:rsidRPr="20DA8EB8">
        <w:t xml:space="preserve"> now</w:t>
      </w:r>
      <w:r w:rsidR="077F3564" w:rsidRPr="20DA8EB8">
        <w:t xml:space="preserve"> much</w:t>
      </w:r>
      <w:r w:rsidR="7A8D44D4" w:rsidRPr="20DA8EB8">
        <w:t xml:space="preserve"> </w:t>
      </w:r>
      <w:r w:rsidR="6CE70100" w:rsidRPr="20DA8EB8">
        <w:t>shallower</w:t>
      </w:r>
      <w:r w:rsidR="0C0F5196" w:rsidRPr="20DA8EB8">
        <w:t>, requiring more</w:t>
      </w:r>
      <w:r w:rsidR="6542BC49" w:rsidRPr="20DA8EB8">
        <w:t xml:space="preserve"> </w:t>
      </w:r>
      <w:r w:rsidR="0C0F5196" w:rsidRPr="20DA8EB8">
        <w:t>energy</w:t>
      </w:r>
      <w:r w:rsidR="1CD73D28" w:rsidRPr="20DA8EB8">
        <w:t xml:space="preserve"> </w:t>
      </w:r>
      <w:r w:rsidR="003A2531">
        <w:t>throughout</w:t>
      </w:r>
      <w:r w:rsidR="1CD73D28" w:rsidRPr="20DA8EB8">
        <w:t xml:space="preserve"> the day.</w:t>
      </w:r>
      <w:r w:rsidR="000C230B">
        <w:t xml:space="preserve"> As an illustrative </w:t>
      </w:r>
      <w:r w:rsidR="00132DA7">
        <w:t>example,</w:t>
      </w:r>
      <w:r w:rsidR="00E62A58">
        <w:t xml:space="preserve"> </w:t>
      </w:r>
      <w:r w:rsidR="00E62A58">
        <w:fldChar w:fldCharType="begin"/>
      </w:r>
      <w:r w:rsidR="00E62A58">
        <w:instrText xml:space="preserve"> REF _Ref513786623 \h </w:instrText>
      </w:r>
      <w:r w:rsidR="00E62A58">
        <w:fldChar w:fldCharType="separate"/>
      </w:r>
      <w:r w:rsidR="00E62A58" w:rsidRPr="003F2C26">
        <w:rPr>
          <w:color w:val="000000" w:themeColor="text1"/>
        </w:rPr>
        <w:t xml:space="preserve">Figure </w:t>
      </w:r>
      <w:r w:rsidR="00E62A58" w:rsidRPr="003F2C26">
        <w:rPr>
          <w:noProof/>
          <w:color w:val="000000" w:themeColor="text1"/>
        </w:rPr>
        <w:t>III</w:t>
      </w:r>
      <w:r w:rsidR="00E62A58" w:rsidRPr="003F2C26">
        <w:rPr>
          <w:color w:val="000000" w:themeColor="text1"/>
        </w:rPr>
        <w:t>.</w:t>
      </w:r>
      <w:r w:rsidR="00E62A58" w:rsidRPr="003F2C26">
        <w:rPr>
          <w:noProof/>
          <w:color w:val="000000" w:themeColor="text1"/>
        </w:rPr>
        <w:t>7</w:t>
      </w:r>
      <w:r w:rsidR="00E62A58">
        <w:fldChar w:fldCharType="end"/>
      </w:r>
      <w:r w:rsidR="00E62A58">
        <w:t xml:space="preserve"> </w:t>
      </w:r>
      <w:r w:rsidR="00764EB3">
        <w:t xml:space="preserve">below </w:t>
      </w:r>
      <w:r w:rsidR="0013490B">
        <w:t>depicts</w:t>
      </w:r>
      <w:r w:rsidR="00764EB3">
        <w:t xml:space="preserve"> </w:t>
      </w:r>
      <w:r w:rsidR="00DC6EC1">
        <w:t>the</w:t>
      </w:r>
      <w:r w:rsidR="00F12BF0">
        <w:t xml:space="preserve"> modeled</w:t>
      </w:r>
      <w:r w:rsidR="00A00049">
        <w:t xml:space="preserve"> hourly</w:t>
      </w:r>
      <w:r w:rsidR="00DC6EC1">
        <w:t xml:space="preserve"> load </w:t>
      </w:r>
      <w:r w:rsidR="0021400F">
        <w:t xml:space="preserve">across a 24-hour period </w:t>
      </w:r>
      <w:r w:rsidR="00A00049">
        <w:t>during a cold weather event</w:t>
      </w:r>
      <w:r w:rsidR="00E026B0">
        <w:t xml:space="preserve">. </w:t>
      </w:r>
      <w:r w:rsidR="00B86AEC">
        <w:t xml:space="preserve">When comparing load shapes scaled </w:t>
      </w:r>
      <w:r w:rsidR="00E026B0">
        <w:t xml:space="preserve">to the same </w:t>
      </w:r>
      <w:r w:rsidR="00B47401">
        <w:t xml:space="preserve">peak load and hour, </w:t>
      </w:r>
      <w:r w:rsidR="00930154">
        <w:t xml:space="preserve">it is </w:t>
      </w:r>
      <w:r w:rsidR="00752113">
        <w:t>evident</w:t>
      </w:r>
      <w:r w:rsidR="00930154">
        <w:t xml:space="preserve"> that </w:t>
      </w:r>
      <w:r w:rsidR="00F9457D">
        <w:t xml:space="preserve">the energy </w:t>
      </w:r>
      <w:r w:rsidR="00B17908">
        <w:t>required</w:t>
      </w:r>
      <w:r w:rsidR="00F9457D">
        <w:t xml:space="preserve"> to </w:t>
      </w:r>
      <w:r w:rsidR="00752113">
        <w:t>meet demand</w:t>
      </w:r>
      <w:r w:rsidR="00902B02">
        <w:t xml:space="preserve"> in</w:t>
      </w:r>
      <w:r w:rsidR="00EB1F8D">
        <w:t xml:space="preserve"> the</w:t>
      </w:r>
      <w:r w:rsidR="00902B02">
        <w:t xml:space="preserve"> 2024</w:t>
      </w:r>
      <w:r w:rsidR="00EB1F8D">
        <w:t xml:space="preserve"> </w:t>
      </w:r>
      <w:r w:rsidR="009D344B">
        <w:t>S</w:t>
      </w:r>
      <w:r w:rsidR="00EB1F8D">
        <w:t>tudy</w:t>
      </w:r>
      <w:r w:rsidR="00B17908">
        <w:t xml:space="preserve"> </w:t>
      </w:r>
      <w:r w:rsidR="00902B02">
        <w:t>is higher than the energy needed in</w:t>
      </w:r>
      <w:r w:rsidR="0091434A">
        <w:t xml:space="preserve"> </w:t>
      </w:r>
      <w:r w:rsidR="00EB1F8D">
        <w:t xml:space="preserve">the </w:t>
      </w:r>
      <w:r w:rsidR="00902B02">
        <w:t>2021</w:t>
      </w:r>
      <w:r w:rsidR="00EB1F8D">
        <w:t xml:space="preserve"> </w:t>
      </w:r>
      <w:r w:rsidR="009D344B">
        <w:t>S</w:t>
      </w:r>
      <w:r w:rsidR="00EB1F8D">
        <w:t>tudy</w:t>
      </w:r>
      <w:r w:rsidR="0093088F">
        <w:t xml:space="preserve"> (</w:t>
      </w:r>
      <w:r w:rsidR="0091434A">
        <w:t>approximately</w:t>
      </w:r>
      <w:r w:rsidR="00F3240E">
        <w:t xml:space="preserve"> </w:t>
      </w:r>
      <w:r w:rsidR="00983EF1">
        <w:t>96</w:t>
      </w:r>
      <w:r w:rsidR="00F3240E">
        <w:t>3 GWh</w:t>
      </w:r>
      <w:r w:rsidR="00336E39">
        <w:t xml:space="preserve"> in 2024</w:t>
      </w:r>
      <w:r w:rsidR="00F3240E">
        <w:t xml:space="preserve"> vs</w:t>
      </w:r>
      <w:r w:rsidR="00A577C0">
        <w:t>.</w:t>
      </w:r>
      <w:r w:rsidR="00F3240E">
        <w:t xml:space="preserve"> 851 GW</w:t>
      </w:r>
      <w:r w:rsidR="00336E39">
        <w:t>h in 2021</w:t>
      </w:r>
      <w:r w:rsidR="00A577C0">
        <w:t xml:space="preserve">, indicating </w:t>
      </w:r>
      <w:r w:rsidR="0073397C">
        <w:t>a 13% increase</w:t>
      </w:r>
      <w:r w:rsidR="00A577C0">
        <w:t xml:space="preserve"> across this </w:t>
      </w:r>
      <w:r w:rsidR="00EB1F8D">
        <w:t xml:space="preserve">sample </w:t>
      </w:r>
      <w:r w:rsidR="00A577C0">
        <w:t>time period</w:t>
      </w:r>
      <w:r w:rsidR="0073397C">
        <w:t>)</w:t>
      </w:r>
      <w:r w:rsidR="001068F2">
        <w:t>.</w:t>
      </w:r>
      <w:r w:rsidR="0000540C">
        <w:t xml:space="preserve"> </w:t>
      </w:r>
      <w:r w:rsidR="005F3D9D">
        <w:t>This additional energy necessary to serve load is impactful</w:t>
      </w:r>
      <w:r w:rsidR="000D0EB0">
        <w:t xml:space="preserve"> b</w:t>
      </w:r>
      <w:r w:rsidR="00913EF1">
        <w:t>ecause</w:t>
      </w:r>
      <w:r w:rsidR="00456836">
        <w:t xml:space="preserve"> the</w:t>
      </w:r>
      <w:r w:rsidR="00913EF1">
        <w:t xml:space="preserve"> </w:t>
      </w:r>
      <w:r w:rsidR="002E0B07">
        <w:t>SERVM</w:t>
      </w:r>
      <w:r w:rsidR="00456836">
        <w:t xml:space="preserve"> model</w:t>
      </w:r>
      <w:r w:rsidR="002E0B07">
        <w:t xml:space="preserve"> </w:t>
      </w:r>
      <w:r w:rsidR="00AC5CC1">
        <w:t xml:space="preserve">performs an </w:t>
      </w:r>
      <w:r w:rsidR="002E0B07">
        <w:t>hourly energy</w:t>
      </w:r>
      <w:r w:rsidR="00913EF1">
        <w:t xml:space="preserve"> </w:t>
      </w:r>
      <w:r w:rsidR="005F3D9D">
        <w:t>commitment and dispatch</w:t>
      </w:r>
      <w:r w:rsidR="002700E5">
        <w:t xml:space="preserve"> rather than </w:t>
      </w:r>
      <w:r w:rsidR="003616D8">
        <w:t>just</w:t>
      </w:r>
      <w:r w:rsidR="000D0EB0">
        <w:t xml:space="preserve"> a peak load analysis.</w:t>
      </w:r>
      <w:r w:rsidR="00D70288">
        <w:t xml:space="preserve"> </w:t>
      </w:r>
      <w:r w:rsidR="003616D8">
        <w:t>Consequently, resources</w:t>
      </w:r>
      <w:r w:rsidR="008B4796">
        <w:t xml:space="preserve"> energy</w:t>
      </w:r>
      <w:r w:rsidR="003616D8">
        <w:t xml:space="preserve"> constrained by contracts, fuel availability, or storage capacity will be exhausted more quickly during winter events.</w:t>
      </w:r>
    </w:p>
    <w:p w14:paraId="6CFA1E94" w14:textId="77777777" w:rsidR="009D344B" w:rsidRDefault="009D344B" w:rsidP="005B2447"/>
    <w:p w14:paraId="37816331" w14:textId="15C04026" w:rsidR="00C50988" w:rsidRPr="005B2447" w:rsidRDefault="009D344B" w:rsidP="005B2447">
      <w:r>
        <w:rPr>
          <w:noProof/>
        </w:rPr>
        <w:drawing>
          <wp:inline distT="0" distB="0" distL="0" distR="0" wp14:anchorId="3BB52416" wp14:editId="449E6ADB">
            <wp:extent cx="5901055" cy="4281217"/>
            <wp:effectExtent l="0" t="0" r="4445" b="5080"/>
            <wp:docPr id="14969948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16114" cy="4292142"/>
                    </a:xfrm>
                    <a:prstGeom prst="rect">
                      <a:avLst/>
                    </a:prstGeom>
                    <a:noFill/>
                  </pic:spPr>
                </pic:pic>
              </a:graphicData>
            </a:graphic>
          </wp:inline>
        </w:drawing>
      </w:r>
    </w:p>
    <w:p w14:paraId="1430D369" w14:textId="1B155555" w:rsidR="00C50988" w:rsidRPr="003F2C26" w:rsidRDefault="00C50988" w:rsidP="00C50988">
      <w:pPr>
        <w:pStyle w:val="Caption"/>
        <w:jc w:val="both"/>
        <w:rPr>
          <w:color w:val="000000" w:themeColor="text1"/>
        </w:rPr>
      </w:pPr>
      <w:bookmarkStart w:id="397" w:name="_Ref513786623"/>
      <w:bookmarkStart w:id="398" w:name="_Toc187234684"/>
      <w:r w:rsidRPr="003F2C26">
        <w:rPr>
          <w:color w:val="000000" w:themeColor="text1"/>
        </w:rPr>
        <w:t xml:space="preserve">Figure </w:t>
      </w:r>
      <w:r w:rsidRPr="003F2C26">
        <w:rPr>
          <w:color w:val="000000" w:themeColor="text1"/>
        </w:rPr>
        <w:fldChar w:fldCharType="begin"/>
      </w:r>
      <w:r w:rsidRPr="003F2C26">
        <w:rPr>
          <w:color w:val="000000" w:themeColor="text1"/>
        </w:rPr>
        <w:instrText xml:space="preserve"> STYLEREF 1 \s </w:instrText>
      </w:r>
      <w:r w:rsidRPr="003F2C26">
        <w:rPr>
          <w:color w:val="000000" w:themeColor="text1"/>
        </w:rPr>
        <w:fldChar w:fldCharType="separate"/>
      </w:r>
      <w:r w:rsidRPr="003F2C26">
        <w:rPr>
          <w:noProof/>
          <w:color w:val="000000" w:themeColor="text1"/>
        </w:rPr>
        <w:t>III</w:t>
      </w:r>
      <w:r w:rsidRPr="003F2C26">
        <w:rPr>
          <w:color w:val="000000" w:themeColor="text1"/>
        </w:rPr>
        <w:fldChar w:fldCharType="end"/>
      </w:r>
      <w:r w:rsidRPr="003F2C26">
        <w:rPr>
          <w:color w:val="000000" w:themeColor="text1"/>
        </w:rPr>
        <w:t>.</w:t>
      </w:r>
      <w:r w:rsidRPr="003F2C26">
        <w:rPr>
          <w:color w:val="000000" w:themeColor="text1"/>
        </w:rPr>
        <w:fldChar w:fldCharType="begin"/>
      </w:r>
      <w:r w:rsidRPr="003F2C26">
        <w:rPr>
          <w:color w:val="000000" w:themeColor="text1"/>
        </w:rPr>
        <w:instrText xml:space="preserve"> SEQ Figure \* ARABIC \s 1 </w:instrText>
      </w:r>
      <w:r w:rsidRPr="003F2C26">
        <w:rPr>
          <w:color w:val="000000" w:themeColor="text1"/>
        </w:rPr>
        <w:fldChar w:fldCharType="separate"/>
      </w:r>
      <w:r w:rsidRPr="003F2C26">
        <w:rPr>
          <w:noProof/>
          <w:color w:val="000000" w:themeColor="text1"/>
        </w:rPr>
        <w:t>7</w:t>
      </w:r>
      <w:r w:rsidRPr="003F2C26">
        <w:rPr>
          <w:color w:val="000000" w:themeColor="text1"/>
        </w:rPr>
        <w:fldChar w:fldCharType="end"/>
      </w:r>
      <w:bookmarkEnd w:id="397"/>
      <w:r w:rsidRPr="003F2C26">
        <w:rPr>
          <w:color w:val="000000" w:themeColor="text1"/>
        </w:rPr>
        <w:t xml:space="preserve"> </w:t>
      </w:r>
      <w:r w:rsidR="0070192A">
        <w:rPr>
          <w:color w:val="000000" w:themeColor="text1"/>
        </w:rPr>
        <w:t>2021 vs 2024</w:t>
      </w:r>
      <w:r w:rsidR="00A90416">
        <w:rPr>
          <w:color w:val="000000" w:themeColor="text1"/>
        </w:rPr>
        <w:t xml:space="preserve"> Extreme Weather Load Shape Example</w:t>
      </w:r>
      <w:bookmarkEnd w:id="398"/>
    </w:p>
    <w:p w14:paraId="248C5671" w14:textId="77777777" w:rsidR="00152802" w:rsidRDefault="00152802" w:rsidP="005B2447"/>
    <w:p w14:paraId="193BEE98" w14:textId="77777777" w:rsidR="004E5776" w:rsidRDefault="004E5776" w:rsidP="005B2447"/>
    <w:p w14:paraId="5B49B594" w14:textId="77777777" w:rsidR="004E5776" w:rsidRDefault="004E5776" w:rsidP="005B2447"/>
    <w:p w14:paraId="4C6D73B9" w14:textId="77777777" w:rsidR="004E5776" w:rsidRDefault="004E5776" w:rsidP="005B2447"/>
    <w:p w14:paraId="1A26DF09" w14:textId="77777777" w:rsidR="004E5776" w:rsidRDefault="004E5776" w:rsidP="005B2447"/>
    <w:p w14:paraId="23C90651" w14:textId="77777777" w:rsidR="004E5776" w:rsidRDefault="004E5776" w:rsidP="005B2447"/>
    <w:p w14:paraId="20DAD0F8" w14:textId="77777777" w:rsidR="004E5776" w:rsidRDefault="004E5776" w:rsidP="005B2447"/>
    <w:p w14:paraId="6D6DA90D" w14:textId="77777777" w:rsidR="004E5776" w:rsidRDefault="004E5776" w:rsidP="005B2447"/>
    <w:p w14:paraId="023F948B" w14:textId="214E3C21" w:rsidR="005B2447" w:rsidRPr="005B2447" w:rsidRDefault="004E5776" w:rsidP="005B2447">
      <w:r>
        <w:t xml:space="preserve">Furthermore, </w:t>
      </w:r>
      <w:r w:rsidR="006312B2">
        <w:rPr>
          <w:szCs w:val="24"/>
        </w:rPr>
        <w:fldChar w:fldCharType="begin"/>
      </w:r>
      <w:r w:rsidR="006312B2">
        <w:rPr>
          <w:szCs w:val="24"/>
        </w:rPr>
        <w:instrText xml:space="preserve"> REF _Ref513787047 \h </w:instrText>
      </w:r>
      <w:r w:rsidR="006312B2">
        <w:rPr>
          <w:szCs w:val="24"/>
        </w:rPr>
      </w:r>
      <w:r w:rsidR="006312B2">
        <w:rPr>
          <w:szCs w:val="24"/>
        </w:rPr>
        <w:fldChar w:fldCharType="separate"/>
      </w:r>
      <w:r w:rsidR="006312B2">
        <w:t xml:space="preserve">Figure </w:t>
      </w:r>
      <w:r w:rsidR="006312B2">
        <w:rPr>
          <w:noProof/>
        </w:rPr>
        <w:t>III</w:t>
      </w:r>
      <w:r w:rsidR="006312B2">
        <w:t>.</w:t>
      </w:r>
      <w:r w:rsidR="006312B2">
        <w:rPr>
          <w:noProof/>
        </w:rPr>
        <w:t>8</w:t>
      </w:r>
      <w:r w:rsidR="006312B2">
        <w:rPr>
          <w:szCs w:val="24"/>
        </w:rPr>
        <w:fldChar w:fldCharType="end"/>
      </w:r>
      <w:r w:rsidR="005B2447">
        <w:rPr>
          <w:szCs w:val="24"/>
        </w:rPr>
        <w:t xml:space="preserve"> below </w:t>
      </w:r>
      <w:r w:rsidR="00152802">
        <w:rPr>
          <w:szCs w:val="24"/>
        </w:rPr>
        <w:t>demonstrates how LOLE appears for the System across the span of reserve margins examined in the 2024 Reserve Margin Study, compared to those in the 2018 and 2021 studies.</w:t>
      </w:r>
      <w:r w:rsidR="005B2447" w:rsidRPr="20DA8EB8">
        <w:t xml:space="preserve"> </w:t>
      </w:r>
    </w:p>
    <w:p w14:paraId="28B5BFB7" w14:textId="77777777" w:rsidR="00376797" w:rsidRDefault="00376797" w:rsidP="00AF1A29">
      <w:pPr>
        <w:rPr>
          <w:szCs w:val="24"/>
        </w:rPr>
      </w:pPr>
    </w:p>
    <w:p w14:paraId="6A2D2DD6" w14:textId="7215F844" w:rsidR="00407B70" w:rsidRDefault="000F3CA1" w:rsidP="00407B70">
      <w:pPr>
        <w:keepNext/>
      </w:pPr>
      <w:r>
        <w:rPr>
          <w:noProof/>
        </w:rPr>
        <w:drawing>
          <wp:inline distT="0" distB="0" distL="0" distR="0" wp14:anchorId="17EC7063" wp14:editId="551CEF48">
            <wp:extent cx="5881589" cy="4274820"/>
            <wp:effectExtent l="0" t="0" r="5080" b="0"/>
            <wp:docPr id="3586423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886229" cy="4278193"/>
                    </a:xfrm>
                    <a:prstGeom prst="rect">
                      <a:avLst/>
                    </a:prstGeom>
                    <a:noFill/>
                  </pic:spPr>
                </pic:pic>
              </a:graphicData>
            </a:graphic>
          </wp:inline>
        </w:drawing>
      </w:r>
    </w:p>
    <w:p w14:paraId="62444C39" w14:textId="295F7DD1" w:rsidR="00407B70" w:rsidRDefault="00407B70" w:rsidP="00407B70">
      <w:pPr>
        <w:pStyle w:val="Caption"/>
        <w:jc w:val="both"/>
        <w:rPr>
          <w:szCs w:val="24"/>
        </w:rPr>
      </w:pPr>
      <w:bookmarkStart w:id="399" w:name="_Ref513787047"/>
      <w:bookmarkStart w:id="400" w:name="_Ref174699529"/>
      <w:bookmarkStart w:id="401" w:name="_Toc187234685"/>
      <w:r>
        <w:t xml:space="preserve">Figure </w:t>
      </w:r>
      <w:r w:rsidR="00F262E6">
        <w:fldChar w:fldCharType="begin"/>
      </w:r>
      <w:r w:rsidR="00F262E6">
        <w:instrText xml:space="preserve"> STYLEREF 1 \s </w:instrText>
      </w:r>
      <w:r w:rsidR="00F262E6">
        <w:fldChar w:fldCharType="separate"/>
      </w:r>
      <w:r w:rsidR="00F262E6">
        <w:rPr>
          <w:noProof/>
        </w:rPr>
        <w:t>III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8</w:t>
      </w:r>
      <w:r w:rsidR="00F262E6">
        <w:fldChar w:fldCharType="end"/>
      </w:r>
      <w:bookmarkEnd w:id="399"/>
      <w:r>
        <w:t xml:space="preserve"> LOLE for Winter Reserve Margins</w:t>
      </w:r>
      <w:bookmarkEnd w:id="400"/>
      <w:bookmarkEnd w:id="401"/>
    </w:p>
    <w:p w14:paraId="712D0C9B" w14:textId="77777777" w:rsidR="00407B70" w:rsidRDefault="00407B70" w:rsidP="00AF1A29">
      <w:pPr>
        <w:rPr>
          <w:szCs w:val="24"/>
        </w:rPr>
      </w:pPr>
    </w:p>
    <w:p w14:paraId="3C4AC434" w14:textId="40B59365" w:rsidR="00CF378A" w:rsidRDefault="00657E5D" w:rsidP="00AF1A29">
      <w:pPr>
        <w:rPr>
          <w:szCs w:val="24"/>
        </w:rPr>
      </w:pPr>
      <w:r>
        <w:rPr>
          <w:szCs w:val="24"/>
        </w:rPr>
        <w:t>A</w:t>
      </w:r>
      <w:r w:rsidR="00FD1CE2">
        <w:rPr>
          <w:szCs w:val="24"/>
        </w:rPr>
        <w:t xml:space="preserve">t the winter </w:t>
      </w:r>
      <w:r w:rsidR="00B348EA">
        <w:rPr>
          <w:szCs w:val="24"/>
        </w:rPr>
        <w:t>EORM</w:t>
      </w:r>
      <w:r w:rsidR="00FD1CE2">
        <w:rPr>
          <w:szCs w:val="24"/>
        </w:rPr>
        <w:t xml:space="preserve"> of 2</w:t>
      </w:r>
      <w:r w:rsidR="000F3CA1">
        <w:rPr>
          <w:szCs w:val="24"/>
        </w:rPr>
        <w:t>2.75</w:t>
      </w:r>
      <w:r w:rsidR="00FD1CE2">
        <w:rPr>
          <w:szCs w:val="24"/>
        </w:rPr>
        <w:t>%, the LOLE is 0.</w:t>
      </w:r>
      <w:r w:rsidR="000F3CA1">
        <w:rPr>
          <w:szCs w:val="24"/>
        </w:rPr>
        <w:t>1</w:t>
      </w:r>
      <w:r w:rsidR="00376797">
        <w:rPr>
          <w:szCs w:val="24"/>
        </w:rPr>
        <w:t>44</w:t>
      </w:r>
      <w:r w:rsidR="000F3CA1">
        <w:rPr>
          <w:szCs w:val="24"/>
        </w:rPr>
        <w:t xml:space="preserve"> </w:t>
      </w:r>
      <w:r w:rsidR="00FD1CE2">
        <w:rPr>
          <w:szCs w:val="24"/>
        </w:rPr>
        <w:t xml:space="preserve">days per year or an expectation of one event every </w:t>
      </w:r>
      <w:r w:rsidR="00376797">
        <w:rPr>
          <w:szCs w:val="24"/>
        </w:rPr>
        <w:t>6.9</w:t>
      </w:r>
      <w:r w:rsidR="00FD1CE2">
        <w:rPr>
          <w:szCs w:val="24"/>
        </w:rPr>
        <w:t xml:space="preserve"> years. To achieve a 1:10 LOLE threshold require</w:t>
      </w:r>
      <w:r w:rsidR="009D344B">
        <w:rPr>
          <w:szCs w:val="24"/>
        </w:rPr>
        <w:t>s</w:t>
      </w:r>
      <w:r w:rsidR="00FD1CE2">
        <w:rPr>
          <w:szCs w:val="24"/>
        </w:rPr>
        <w:t xml:space="preserve"> a winter</w:t>
      </w:r>
      <w:r>
        <w:rPr>
          <w:szCs w:val="24"/>
        </w:rPr>
        <w:t xml:space="preserve"> reserve margin of</w:t>
      </w:r>
      <w:r w:rsidR="009D344B">
        <w:rPr>
          <w:szCs w:val="24"/>
        </w:rPr>
        <w:t xml:space="preserve"> at least</w:t>
      </w:r>
      <w:r>
        <w:rPr>
          <w:szCs w:val="24"/>
        </w:rPr>
        <w:t xml:space="preserve"> 2</w:t>
      </w:r>
      <w:r w:rsidR="000F3CA1">
        <w:rPr>
          <w:szCs w:val="24"/>
        </w:rPr>
        <w:t>5.75</w:t>
      </w:r>
      <w:r>
        <w:rPr>
          <w:szCs w:val="24"/>
        </w:rPr>
        <w:t>%</w:t>
      </w:r>
      <w:r w:rsidR="009D344B">
        <w:rPr>
          <w:szCs w:val="24"/>
        </w:rPr>
        <w:t>,</w:t>
      </w:r>
      <w:r w:rsidR="00F321F8">
        <w:rPr>
          <w:szCs w:val="24"/>
        </w:rPr>
        <w:t xml:space="preserve"> which is </w:t>
      </w:r>
      <w:r w:rsidR="00376797">
        <w:rPr>
          <w:szCs w:val="24"/>
        </w:rPr>
        <w:t xml:space="preserve">above </w:t>
      </w:r>
      <w:r w:rsidR="00F321F8">
        <w:rPr>
          <w:szCs w:val="24"/>
        </w:rPr>
        <w:t>the</w:t>
      </w:r>
      <w:r>
        <w:rPr>
          <w:szCs w:val="24"/>
        </w:rPr>
        <w:t xml:space="preserve"> </w:t>
      </w:r>
      <w:r w:rsidR="00B348EA">
        <w:rPr>
          <w:szCs w:val="24"/>
        </w:rPr>
        <w:t>EORM</w:t>
      </w:r>
      <w:r w:rsidR="00CF378A">
        <w:rPr>
          <w:szCs w:val="24"/>
        </w:rPr>
        <w:t xml:space="preserve"> and </w:t>
      </w:r>
      <w:r>
        <w:rPr>
          <w:szCs w:val="24"/>
        </w:rPr>
        <w:t>VaR85 reserve margin</w:t>
      </w:r>
      <w:r w:rsidR="00F321F8">
        <w:rPr>
          <w:szCs w:val="24"/>
        </w:rPr>
        <w:t>s</w:t>
      </w:r>
      <w:r>
        <w:rPr>
          <w:szCs w:val="24"/>
        </w:rPr>
        <w:t xml:space="preserve">. </w:t>
      </w:r>
      <w:r w:rsidR="00954832">
        <w:rPr>
          <w:szCs w:val="24"/>
        </w:rPr>
        <w:t>Accordingly, t</w:t>
      </w:r>
      <w:r w:rsidR="00CF378A">
        <w:rPr>
          <w:szCs w:val="24"/>
        </w:rPr>
        <w:t>he 1:10 LOLE threshold</w:t>
      </w:r>
      <w:r w:rsidR="00954832">
        <w:rPr>
          <w:szCs w:val="24"/>
        </w:rPr>
        <w:t xml:space="preserve"> represents</w:t>
      </w:r>
      <w:r w:rsidR="00CF378A">
        <w:rPr>
          <w:szCs w:val="24"/>
        </w:rPr>
        <w:t xml:space="preserve"> the absolute minimum level of the desired reserve margin range for </w:t>
      </w:r>
      <w:r w:rsidR="00376797">
        <w:rPr>
          <w:szCs w:val="24"/>
        </w:rPr>
        <w:t>the winter season.</w:t>
      </w:r>
    </w:p>
    <w:p w14:paraId="3237F14B" w14:textId="79253138" w:rsidR="00AF1A29" w:rsidRDefault="00AF1A29" w:rsidP="00217F0E">
      <w:pPr>
        <w:rPr>
          <w:szCs w:val="24"/>
        </w:rPr>
      </w:pPr>
    </w:p>
    <w:p w14:paraId="5A23611A" w14:textId="330066B1" w:rsidR="00BA6A51" w:rsidRDefault="005B0D9A" w:rsidP="00217F0E">
      <w:pPr>
        <w:rPr>
          <w:szCs w:val="24"/>
        </w:rPr>
      </w:pPr>
      <w:r>
        <w:rPr>
          <w:szCs w:val="24"/>
        </w:rPr>
        <w:t>Since</w:t>
      </w:r>
      <w:r w:rsidR="00376797">
        <w:rPr>
          <w:szCs w:val="24"/>
        </w:rPr>
        <w:t xml:space="preserve"> resources procured for the winter season are</w:t>
      </w:r>
      <w:r w:rsidR="00E2439E">
        <w:rPr>
          <w:szCs w:val="24"/>
        </w:rPr>
        <w:t xml:space="preserve"> also</w:t>
      </w:r>
      <w:r w:rsidR="00376797">
        <w:rPr>
          <w:szCs w:val="24"/>
        </w:rPr>
        <w:t xml:space="preserve"> typically available </w:t>
      </w:r>
      <w:r w:rsidR="00E2439E">
        <w:rPr>
          <w:szCs w:val="24"/>
        </w:rPr>
        <w:t>in</w:t>
      </w:r>
      <w:r w:rsidR="00376797">
        <w:rPr>
          <w:szCs w:val="24"/>
        </w:rPr>
        <w:t xml:space="preserve"> the summer season, the summer equivalent reserve margin </w:t>
      </w:r>
      <w:r w:rsidR="0007727D">
        <w:rPr>
          <w:szCs w:val="24"/>
        </w:rPr>
        <w:t>of</w:t>
      </w:r>
      <w:r w:rsidR="00376797">
        <w:rPr>
          <w:szCs w:val="24"/>
        </w:rPr>
        <w:t xml:space="preserve"> </w:t>
      </w:r>
      <w:r>
        <w:rPr>
          <w:szCs w:val="24"/>
        </w:rPr>
        <w:t>a</w:t>
      </w:r>
      <w:r w:rsidR="00E2439E">
        <w:rPr>
          <w:szCs w:val="24"/>
        </w:rPr>
        <w:t xml:space="preserve"> 25.75%</w:t>
      </w:r>
      <w:r>
        <w:rPr>
          <w:szCs w:val="24"/>
        </w:rPr>
        <w:t xml:space="preserve"> winter reserve margin </w:t>
      </w:r>
      <w:r w:rsidR="00E2439E">
        <w:rPr>
          <w:szCs w:val="24"/>
        </w:rPr>
        <w:t>i</w:t>
      </w:r>
      <w:r w:rsidR="00376797">
        <w:rPr>
          <w:szCs w:val="24"/>
        </w:rPr>
        <w:t xml:space="preserve">s </w:t>
      </w:r>
      <w:r>
        <w:rPr>
          <w:szCs w:val="24"/>
        </w:rPr>
        <w:t xml:space="preserve">24.52%. The primary reason for the difference is increased resource output at lower winter temperatures </w:t>
      </w:r>
      <w:r w:rsidR="0007727D">
        <w:rPr>
          <w:szCs w:val="24"/>
        </w:rPr>
        <w:t>and</w:t>
      </w:r>
      <w:r>
        <w:rPr>
          <w:szCs w:val="24"/>
        </w:rPr>
        <w:t xml:space="preserve"> a difference between seasonal peak loads. </w:t>
      </w:r>
      <w:r w:rsidR="007D767C">
        <w:rPr>
          <w:szCs w:val="24"/>
        </w:rPr>
        <w:t xml:space="preserve">Due to the absence of the winter reliability drivers detailed in </w:t>
      </w:r>
      <w:r>
        <w:rPr>
          <w:szCs w:val="24"/>
        </w:rPr>
        <w:t>S</w:t>
      </w:r>
      <w:r w:rsidR="007D767C">
        <w:rPr>
          <w:szCs w:val="24"/>
        </w:rPr>
        <w:t>ection</w:t>
      </w:r>
      <w:r>
        <w:rPr>
          <w:szCs w:val="24"/>
        </w:rPr>
        <w:t xml:space="preserve"> III.</w:t>
      </w:r>
      <w:r>
        <w:rPr>
          <w:szCs w:val="24"/>
        </w:rPr>
        <w:fldChar w:fldCharType="begin"/>
      </w:r>
      <w:r>
        <w:rPr>
          <w:szCs w:val="24"/>
        </w:rPr>
        <w:instrText xml:space="preserve"> REF _Ref174695637 \r \h </w:instrText>
      </w:r>
      <w:r>
        <w:rPr>
          <w:szCs w:val="24"/>
        </w:rPr>
      </w:r>
      <w:r>
        <w:rPr>
          <w:szCs w:val="24"/>
        </w:rPr>
        <w:fldChar w:fldCharType="separate"/>
      </w:r>
      <w:r>
        <w:rPr>
          <w:szCs w:val="24"/>
        </w:rPr>
        <w:t xml:space="preserve">A. </w:t>
      </w:r>
      <w:r>
        <w:rPr>
          <w:szCs w:val="24"/>
        </w:rPr>
        <w:fldChar w:fldCharType="end"/>
      </w:r>
      <w:r>
        <w:rPr>
          <w:szCs w:val="24"/>
        </w:rPr>
        <w:t>, summer reliability is much greater than winter at similar</w:t>
      </w:r>
      <w:r w:rsidR="0007727D">
        <w:rPr>
          <w:szCs w:val="24"/>
        </w:rPr>
        <w:t>,</w:t>
      </w:r>
      <w:r>
        <w:rPr>
          <w:szCs w:val="24"/>
        </w:rPr>
        <w:t xml:space="preserve"> relative reserve margins.</w:t>
      </w:r>
      <w:r w:rsidR="00BA6A51">
        <w:rPr>
          <w:szCs w:val="24"/>
        </w:rPr>
        <w:t xml:space="preserve"> Therefore, summer-only LOLE at</w:t>
      </w:r>
      <w:r w:rsidR="0007727D">
        <w:rPr>
          <w:szCs w:val="24"/>
        </w:rPr>
        <w:t xml:space="preserve"> a </w:t>
      </w:r>
      <w:r w:rsidR="00BA6A51">
        <w:rPr>
          <w:szCs w:val="24"/>
        </w:rPr>
        <w:t>24.52%</w:t>
      </w:r>
      <w:r w:rsidR="0007727D">
        <w:rPr>
          <w:szCs w:val="24"/>
        </w:rPr>
        <w:t xml:space="preserve"> summer-stated reserve margin</w:t>
      </w:r>
      <w:r w:rsidR="00BA6A51">
        <w:rPr>
          <w:szCs w:val="24"/>
        </w:rPr>
        <w:t xml:space="preserve"> is 0.00 LOLE</w:t>
      </w:r>
      <w:r w:rsidR="00E2439E">
        <w:rPr>
          <w:szCs w:val="24"/>
        </w:rPr>
        <w:t xml:space="preserve"> or 0 days per year.</w:t>
      </w:r>
    </w:p>
    <w:p w14:paraId="0CAFCFA2" w14:textId="77777777" w:rsidR="00BA6A51" w:rsidRDefault="00BA6A51" w:rsidP="00217F0E">
      <w:pPr>
        <w:rPr>
          <w:szCs w:val="24"/>
        </w:rPr>
      </w:pPr>
    </w:p>
    <w:p w14:paraId="69388239" w14:textId="29A18295" w:rsidR="00E2439E" w:rsidRDefault="00BA6A51" w:rsidP="00217F0E">
      <w:r>
        <w:t xml:space="preserve">However, </w:t>
      </w:r>
      <w:r w:rsidR="00E2439E">
        <w:t xml:space="preserve">because not all incremental resources added to the system to meet winter capacity needs are available year-round at </w:t>
      </w:r>
      <w:r w:rsidR="00304AD5">
        <w:t>identical seasonal</w:t>
      </w:r>
      <w:r w:rsidR="00E2439E">
        <w:t xml:space="preserve"> capacity values, it is important to establish a minimum summer reserve margin target. This minimum target should ensure that an annual (summer plus winter) LOLE of 0.10 days per year or one day in ten years is maintained.</w:t>
      </w:r>
    </w:p>
    <w:p w14:paraId="72FA4850" w14:textId="77777777" w:rsidR="00E2439E" w:rsidRDefault="00E2439E" w:rsidP="00217F0E">
      <w:pPr>
        <w:rPr>
          <w:szCs w:val="24"/>
        </w:rPr>
      </w:pPr>
    </w:p>
    <w:p w14:paraId="4C72D273" w14:textId="0F372B43" w:rsidR="00E2439E" w:rsidRDefault="00E2439E" w:rsidP="00217F0E">
      <w:pPr>
        <w:rPr>
          <w:szCs w:val="24"/>
        </w:rPr>
      </w:pPr>
      <w:r>
        <w:rPr>
          <w:szCs w:val="24"/>
        </w:rPr>
        <w:t>Because winter is currently the season driving capacity needs</w:t>
      </w:r>
      <w:r w:rsidR="00324FA4">
        <w:rPr>
          <w:szCs w:val="24"/>
        </w:rPr>
        <w:t xml:space="preserve">, the majority of the annual reliability concern also rests within that season. At a 26.00% winter reserve margin, the LOLE is </w:t>
      </w:r>
      <w:r w:rsidR="00B373FF">
        <w:rPr>
          <w:szCs w:val="24"/>
        </w:rPr>
        <w:t>0</w:t>
      </w:r>
      <w:r w:rsidR="00324FA4">
        <w:rPr>
          <w:szCs w:val="24"/>
        </w:rPr>
        <w:t xml:space="preserve">.092 or one day in 10.9 years as shown in </w:t>
      </w:r>
      <w:r w:rsidR="00324FA4">
        <w:rPr>
          <w:szCs w:val="24"/>
        </w:rPr>
        <w:fldChar w:fldCharType="begin"/>
      </w:r>
      <w:r w:rsidR="00324FA4">
        <w:rPr>
          <w:szCs w:val="24"/>
        </w:rPr>
        <w:instrText xml:space="preserve"> REF _Ref513787047 \h </w:instrText>
      </w:r>
      <w:r w:rsidR="00324FA4">
        <w:rPr>
          <w:szCs w:val="24"/>
        </w:rPr>
      </w:r>
      <w:r w:rsidR="00324FA4">
        <w:rPr>
          <w:szCs w:val="24"/>
        </w:rPr>
        <w:fldChar w:fldCharType="separate"/>
      </w:r>
      <w:r w:rsidR="00324FA4">
        <w:t xml:space="preserve">Figure </w:t>
      </w:r>
      <w:r w:rsidR="00324FA4">
        <w:rPr>
          <w:noProof/>
        </w:rPr>
        <w:t>III</w:t>
      </w:r>
      <w:r w:rsidR="00324FA4">
        <w:t>.</w:t>
      </w:r>
      <w:r w:rsidR="00324FA4">
        <w:rPr>
          <w:noProof/>
        </w:rPr>
        <w:t>8</w:t>
      </w:r>
      <w:r w:rsidR="00324FA4">
        <w:rPr>
          <w:szCs w:val="24"/>
        </w:rPr>
        <w:fldChar w:fldCharType="end"/>
      </w:r>
      <w:r w:rsidR="00324FA4">
        <w:rPr>
          <w:szCs w:val="24"/>
        </w:rPr>
        <w:t xml:space="preserve">. In order to maintain an annual LOLE of 0.10, summer LOLE must </w:t>
      </w:r>
      <w:r w:rsidR="00B373FF">
        <w:rPr>
          <w:szCs w:val="24"/>
        </w:rPr>
        <w:t xml:space="preserve">then </w:t>
      </w:r>
      <w:r w:rsidR="00324FA4">
        <w:rPr>
          <w:szCs w:val="24"/>
        </w:rPr>
        <w:t xml:space="preserve">be </w:t>
      </w:r>
      <w:r w:rsidR="00B373FF">
        <w:rPr>
          <w:szCs w:val="24"/>
        </w:rPr>
        <w:t>0.008 days per year or one day in 125 years or better.</w:t>
      </w:r>
      <w:r w:rsidR="00434C7F">
        <w:rPr>
          <w:szCs w:val="24"/>
        </w:rPr>
        <w:t xml:space="preserve"> </w:t>
      </w:r>
      <w:r w:rsidR="0035451E">
        <w:rPr>
          <w:szCs w:val="24"/>
        </w:rPr>
        <w:t xml:space="preserve">In order to </w:t>
      </w:r>
      <w:r w:rsidR="00761EBB">
        <w:rPr>
          <w:szCs w:val="24"/>
        </w:rPr>
        <w:t>achieve that</w:t>
      </w:r>
      <w:r w:rsidR="0035451E">
        <w:rPr>
          <w:szCs w:val="24"/>
        </w:rPr>
        <w:t xml:space="preserve"> level of reliability in the summer season, the summer reserve margin should be 19.55% or higher.</w:t>
      </w:r>
      <w:r w:rsidR="00761EBB">
        <w:rPr>
          <w:szCs w:val="24"/>
        </w:rPr>
        <w:t xml:space="preserve"> </w:t>
      </w:r>
      <w:r w:rsidR="002A36AB">
        <w:rPr>
          <w:szCs w:val="24"/>
        </w:rPr>
        <w:fldChar w:fldCharType="begin"/>
      </w:r>
      <w:r w:rsidR="002A36AB">
        <w:rPr>
          <w:szCs w:val="24"/>
        </w:rPr>
        <w:instrText xml:space="preserve"> REF _Ref174702291 \h </w:instrText>
      </w:r>
      <w:r w:rsidR="002A36AB">
        <w:rPr>
          <w:szCs w:val="24"/>
        </w:rPr>
      </w:r>
      <w:r w:rsidR="002A36AB">
        <w:rPr>
          <w:szCs w:val="24"/>
        </w:rPr>
        <w:fldChar w:fldCharType="separate"/>
      </w:r>
      <w:r w:rsidR="002A36AB">
        <w:t xml:space="preserve">Figure </w:t>
      </w:r>
      <w:r w:rsidR="002A36AB">
        <w:rPr>
          <w:noProof/>
        </w:rPr>
        <w:t>III</w:t>
      </w:r>
      <w:r w:rsidR="002A36AB">
        <w:t>.</w:t>
      </w:r>
      <w:r w:rsidR="002A36AB">
        <w:rPr>
          <w:noProof/>
        </w:rPr>
        <w:t>9</w:t>
      </w:r>
      <w:r w:rsidR="002A36AB">
        <w:rPr>
          <w:szCs w:val="24"/>
        </w:rPr>
        <w:fldChar w:fldCharType="end"/>
      </w:r>
      <w:r w:rsidR="002A36AB">
        <w:rPr>
          <w:szCs w:val="24"/>
        </w:rPr>
        <w:t xml:space="preserve"> below shows the </w:t>
      </w:r>
      <w:r w:rsidR="00B62B01">
        <w:rPr>
          <w:szCs w:val="24"/>
        </w:rPr>
        <w:t>expected summer-only</w:t>
      </w:r>
      <w:r w:rsidR="00304AD5">
        <w:rPr>
          <w:szCs w:val="24"/>
        </w:rPr>
        <w:t xml:space="preserve"> </w:t>
      </w:r>
      <w:r w:rsidR="00B62B01">
        <w:rPr>
          <w:szCs w:val="24"/>
        </w:rPr>
        <w:t>years between events</w:t>
      </w:r>
      <w:r w:rsidR="006654B4">
        <w:rPr>
          <w:szCs w:val="24"/>
        </w:rPr>
        <w:t xml:space="preserve"> and event days per year</w:t>
      </w:r>
      <w:r w:rsidR="00B62B01">
        <w:rPr>
          <w:szCs w:val="24"/>
        </w:rPr>
        <w:t xml:space="preserve"> by reserve margin level.</w:t>
      </w:r>
      <w:r w:rsidR="0035451E">
        <w:rPr>
          <w:szCs w:val="24"/>
        </w:rPr>
        <w:t xml:space="preserve"> </w:t>
      </w:r>
      <w:r w:rsidR="004519C6">
        <w:rPr>
          <w:szCs w:val="24"/>
        </w:rPr>
        <w:t>At a summer target reserve margin of 20%, the LOLE is 0.007, which when combined with the winter LOLE at 26%, equals an annual LOLE of 0.099 days per year or an expectation of one event every 10.1 years.</w:t>
      </w:r>
    </w:p>
    <w:p w14:paraId="4D8841F0" w14:textId="77777777" w:rsidR="00E2439E" w:rsidRDefault="00E2439E" w:rsidP="00217F0E">
      <w:pPr>
        <w:rPr>
          <w:szCs w:val="24"/>
        </w:rPr>
      </w:pPr>
    </w:p>
    <w:p w14:paraId="676B2F3F" w14:textId="331A26E6" w:rsidR="00146609" w:rsidRDefault="00146609" w:rsidP="00217F0E">
      <w:pPr>
        <w:rPr>
          <w:szCs w:val="24"/>
        </w:rPr>
      </w:pPr>
    </w:p>
    <w:p w14:paraId="11BEFC4C" w14:textId="632077E0" w:rsidR="00434C7F" w:rsidRDefault="009D344B" w:rsidP="00217F0E">
      <w:pPr>
        <w:rPr>
          <w:szCs w:val="24"/>
        </w:rPr>
      </w:pPr>
      <w:r>
        <w:rPr>
          <w:noProof/>
          <w:szCs w:val="24"/>
        </w:rPr>
        <w:drawing>
          <wp:inline distT="0" distB="0" distL="0" distR="0" wp14:anchorId="042E237B" wp14:editId="0B3D98D6">
            <wp:extent cx="5828190" cy="4231005"/>
            <wp:effectExtent l="0" t="0" r="1270" b="0"/>
            <wp:docPr id="185050318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837493" cy="4237759"/>
                    </a:xfrm>
                    <a:prstGeom prst="rect">
                      <a:avLst/>
                    </a:prstGeom>
                    <a:noFill/>
                  </pic:spPr>
                </pic:pic>
              </a:graphicData>
            </a:graphic>
          </wp:inline>
        </w:drawing>
      </w:r>
    </w:p>
    <w:p w14:paraId="71E5B387" w14:textId="531906E5" w:rsidR="005567CC" w:rsidRDefault="005567CC" w:rsidP="005567CC">
      <w:pPr>
        <w:pStyle w:val="Caption"/>
        <w:rPr>
          <w:szCs w:val="24"/>
        </w:rPr>
      </w:pPr>
      <w:bookmarkStart w:id="402" w:name="_Ref174702291"/>
      <w:bookmarkStart w:id="403" w:name="_Toc187234686"/>
      <w:r>
        <w:t xml:space="preserve">Figure </w:t>
      </w:r>
      <w:r w:rsidR="00F262E6">
        <w:fldChar w:fldCharType="begin"/>
      </w:r>
      <w:r w:rsidR="00F262E6">
        <w:instrText xml:space="preserve"> STYLEREF 1 \s </w:instrText>
      </w:r>
      <w:r w:rsidR="00F262E6">
        <w:fldChar w:fldCharType="separate"/>
      </w:r>
      <w:r w:rsidR="00F262E6">
        <w:rPr>
          <w:noProof/>
        </w:rPr>
        <w:t>III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9</w:t>
      </w:r>
      <w:r w:rsidR="00F262E6">
        <w:fldChar w:fldCharType="end"/>
      </w:r>
      <w:bookmarkEnd w:id="402"/>
      <w:r>
        <w:t xml:space="preserve"> LOLE for Summer Reserve Margins</w:t>
      </w:r>
      <w:bookmarkEnd w:id="403"/>
    </w:p>
    <w:p w14:paraId="27C74220" w14:textId="77777777" w:rsidR="00434C7F" w:rsidRDefault="00434C7F" w:rsidP="00217F0E">
      <w:pPr>
        <w:rPr>
          <w:szCs w:val="24"/>
        </w:rPr>
      </w:pPr>
    </w:p>
    <w:p w14:paraId="70988FDC" w14:textId="77777777" w:rsidR="009D344B" w:rsidRDefault="009D344B" w:rsidP="00217F0E">
      <w:pPr>
        <w:rPr>
          <w:szCs w:val="24"/>
        </w:rPr>
      </w:pPr>
    </w:p>
    <w:p w14:paraId="2730AAC1" w14:textId="77777777" w:rsidR="00697CE5" w:rsidRDefault="00E44521" w:rsidP="00A76839">
      <w:pPr>
        <w:pStyle w:val="Heading2"/>
        <w:numPr>
          <w:ilvl w:val="1"/>
          <w:numId w:val="13"/>
        </w:numPr>
        <w:ind w:left="360"/>
      </w:pPr>
      <w:bookmarkStart w:id="404" w:name="_Toc440262246"/>
      <w:bookmarkStart w:id="405" w:name="_Toc440447918"/>
      <w:bookmarkStart w:id="406" w:name="_Toc440457968"/>
      <w:bookmarkStart w:id="407" w:name="_Toc513710358"/>
      <w:bookmarkStart w:id="408" w:name="_Toc187234619"/>
      <w:r w:rsidRPr="00DB641B">
        <w:t>Total System Cost Components</w:t>
      </w:r>
      <w:bookmarkEnd w:id="404"/>
      <w:bookmarkEnd w:id="405"/>
      <w:bookmarkEnd w:id="406"/>
      <w:bookmarkEnd w:id="407"/>
      <w:bookmarkEnd w:id="408"/>
    </w:p>
    <w:p w14:paraId="11138628" w14:textId="3A8490F6" w:rsidR="00875854" w:rsidRDefault="00875854" w:rsidP="00DB641B">
      <w:r>
        <w:t>The total syste</w:t>
      </w:r>
      <w:r w:rsidR="00496370">
        <w:t>m cost is the sum of three</w:t>
      </w:r>
      <w:r>
        <w:t xml:space="preserve"> components:</w:t>
      </w:r>
    </w:p>
    <w:p w14:paraId="350E706B" w14:textId="77777777" w:rsidR="00875854" w:rsidRDefault="00875854" w:rsidP="00DB641B"/>
    <w:p w14:paraId="05FB8214" w14:textId="64FD2D1E" w:rsidR="00875854" w:rsidRDefault="00875854" w:rsidP="00C56A27">
      <w:pPr>
        <w:pStyle w:val="ListParagraph"/>
        <w:numPr>
          <w:ilvl w:val="0"/>
          <w:numId w:val="9"/>
        </w:numPr>
      </w:pPr>
      <w:r>
        <w:t>The annual carrying cost of CTs added for reserve margin</w:t>
      </w:r>
      <w:r w:rsidR="00382E88">
        <w:t xml:space="preserve"> (Incremental Capacity Cost)</w:t>
      </w:r>
    </w:p>
    <w:p w14:paraId="1CB9FE80" w14:textId="00A8C0E8" w:rsidR="00875854" w:rsidRDefault="004E0C4A" w:rsidP="00C56A27">
      <w:pPr>
        <w:pStyle w:val="ListParagraph"/>
        <w:numPr>
          <w:ilvl w:val="0"/>
          <w:numId w:val="9"/>
        </w:numPr>
      </w:pPr>
      <w:r>
        <w:t>Reliability Costs</w:t>
      </w:r>
    </w:p>
    <w:p w14:paraId="2665480C" w14:textId="5FB8B183" w:rsidR="00875854" w:rsidRDefault="004E0C4A" w:rsidP="00C56A27">
      <w:pPr>
        <w:pStyle w:val="ListParagraph"/>
        <w:numPr>
          <w:ilvl w:val="0"/>
          <w:numId w:val="9"/>
        </w:numPr>
      </w:pPr>
      <w:r>
        <w:t>P</w:t>
      </w:r>
      <w:r w:rsidR="00875854">
        <w:t xml:space="preserve">roduction </w:t>
      </w:r>
      <w:r>
        <w:t>Cost</w:t>
      </w:r>
    </w:p>
    <w:p w14:paraId="1689BC25" w14:textId="77777777" w:rsidR="00875854" w:rsidRDefault="00875854" w:rsidP="00DB641B">
      <w:pPr>
        <w:pStyle w:val="ListParagraph"/>
        <w:ind w:left="1080"/>
      </w:pPr>
    </w:p>
    <w:p w14:paraId="3D038B5E" w14:textId="77777777" w:rsidR="00875854" w:rsidRDefault="00875854" w:rsidP="00DB641B">
      <w:r>
        <w:t>Following is a discussion of each component.</w:t>
      </w:r>
    </w:p>
    <w:p w14:paraId="4C066A44" w14:textId="77777777" w:rsidR="001F59F6" w:rsidRDefault="001F59F6">
      <w:pPr>
        <w:spacing w:line="240" w:lineRule="auto"/>
        <w:jc w:val="left"/>
      </w:pPr>
    </w:p>
    <w:p w14:paraId="290F092A" w14:textId="77777777" w:rsidR="00672AE3" w:rsidRDefault="00672AE3">
      <w:pPr>
        <w:spacing w:line="240" w:lineRule="auto"/>
        <w:jc w:val="left"/>
      </w:pPr>
    </w:p>
    <w:p w14:paraId="51C3031F" w14:textId="77777777" w:rsidR="00672AE3" w:rsidRDefault="00672AE3">
      <w:pPr>
        <w:spacing w:line="240" w:lineRule="auto"/>
        <w:jc w:val="left"/>
      </w:pPr>
    </w:p>
    <w:p w14:paraId="728BAA40" w14:textId="77777777" w:rsidR="00672AE3" w:rsidRDefault="00672AE3">
      <w:pPr>
        <w:spacing w:line="240" w:lineRule="auto"/>
        <w:jc w:val="left"/>
      </w:pPr>
    </w:p>
    <w:p w14:paraId="63416B68" w14:textId="77777777" w:rsidR="001F59F6" w:rsidRDefault="001F59F6" w:rsidP="001F59F6">
      <w:pPr>
        <w:pStyle w:val="ListParagraph"/>
        <w:numPr>
          <w:ilvl w:val="0"/>
          <w:numId w:val="10"/>
        </w:numPr>
        <w:spacing w:line="240" w:lineRule="auto"/>
        <w:jc w:val="left"/>
        <w:rPr>
          <w:b/>
        </w:rPr>
      </w:pPr>
      <w:r w:rsidRPr="001F59F6">
        <w:rPr>
          <w:b/>
        </w:rPr>
        <w:t>Annual Carrying Costs of CTs</w:t>
      </w:r>
    </w:p>
    <w:p w14:paraId="5FC251C4" w14:textId="77777777" w:rsidR="001F59F6" w:rsidRDefault="001F59F6" w:rsidP="001F59F6">
      <w:pPr>
        <w:spacing w:line="240" w:lineRule="auto"/>
        <w:jc w:val="left"/>
        <w:rPr>
          <w:szCs w:val="24"/>
        </w:rPr>
      </w:pPr>
    </w:p>
    <w:p w14:paraId="3CC7B601" w14:textId="758CFD47" w:rsidR="00697CE5" w:rsidRDefault="00BF2BD6" w:rsidP="00427C3E">
      <w:pPr>
        <w:rPr>
          <w:color w:val="000000" w:themeColor="text1"/>
          <w:szCs w:val="24"/>
        </w:rPr>
      </w:pPr>
      <w:r w:rsidRPr="00943E4B">
        <w:rPr>
          <w:szCs w:val="24"/>
        </w:rPr>
        <w:t>The incremental annual capacity carrying co</w:t>
      </w:r>
      <w:r w:rsidR="008E57D4" w:rsidRPr="00943E4B">
        <w:rPr>
          <w:szCs w:val="24"/>
        </w:rPr>
        <w:t xml:space="preserve">st </w:t>
      </w:r>
      <w:r w:rsidR="00E44521" w:rsidRPr="00943E4B">
        <w:rPr>
          <w:szCs w:val="24"/>
        </w:rPr>
        <w:t xml:space="preserve">of the added capacity </w:t>
      </w:r>
      <w:r w:rsidR="008E57D4" w:rsidRPr="00943E4B">
        <w:rPr>
          <w:szCs w:val="24"/>
        </w:rPr>
        <w:t>at any given reserve margin i</w:t>
      </w:r>
      <w:r w:rsidRPr="00943E4B">
        <w:rPr>
          <w:szCs w:val="24"/>
        </w:rPr>
        <w:t xml:space="preserve">s determined by multiplying the incremental </w:t>
      </w:r>
      <w:r w:rsidR="00E44521" w:rsidRPr="00943E4B">
        <w:rPr>
          <w:szCs w:val="24"/>
        </w:rPr>
        <w:t>CT</w:t>
      </w:r>
      <w:r w:rsidR="00070922" w:rsidRPr="00943E4B">
        <w:rPr>
          <w:szCs w:val="24"/>
        </w:rPr>
        <w:t xml:space="preserve"> </w:t>
      </w:r>
      <w:r w:rsidRPr="00943E4B">
        <w:rPr>
          <w:szCs w:val="24"/>
        </w:rPr>
        <w:t xml:space="preserve">capacity by </w:t>
      </w:r>
      <w:r w:rsidR="00E44521" w:rsidRPr="006D5C63">
        <w:rPr>
          <w:color w:val="000000" w:themeColor="text1"/>
          <w:szCs w:val="24"/>
        </w:rPr>
        <w:t xml:space="preserve">its </w:t>
      </w:r>
      <w:r w:rsidR="008E57D4" w:rsidRPr="006D5C63">
        <w:rPr>
          <w:color w:val="000000" w:themeColor="text1"/>
          <w:szCs w:val="24"/>
        </w:rPr>
        <w:t>economic carrying cost</w:t>
      </w:r>
      <w:r w:rsidR="004E0C4A" w:rsidRPr="006D5C63">
        <w:rPr>
          <w:color w:val="000000" w:themeColor="text1"/>
          <w:szCs w:val="24"/>
        </w:rPr>
        <w:t>. For the summer focus studies, this cost was determined using summer performance values, resulting in a carrying cost of</w:t>
      </w:r>
      <w:r w:rsidR="008E57D4" w:rsidRPr="006D5C63">
        <w:rPr>
          <w:color w:val="000000" w:themeColor="text1"/>
          <w:szCs w:val="24"/>
        </w:rPr>
        <w:t xml:space="preserve"> </w:t>
      </w:r>
      <w:r w:rsidR="00E225E7" w:rsidRPr="004A2896">
        <w:rPr>
          <w:b/>
          <w:bCs/>
          <w:color w:val="000000" w:themeColor="text1"/>
          <w:sz w:val="18"/>
          <w:szCs w:val="18"/>
        </w:rPr>
        <w:t>REDACTE</w:t>
      </w:r>
      <w:r w:rsidR="00AE789A" w:rsidRPr="004A2896">
        <w:rPr>
          <w:b/>
          <w:bCs/>
          <w:color w:val="000000" w:themeColor="text1"/>
          <w:sz w:val="18"/>
          <w:szCs w:val="18"/>
        </w:rPr>
        <w:t>D</w:t>
      </w:r>
      <w:r w:rsidR="004A2896" w:rsidRPr="004A2896">
        <w:rPr>
          <w:color w:val="000000" w:themeColor="text1"/>
          <w:sz w:val="18"/>
          <w:szCs w:val="20"/>
        </w:rPr>
        <w:t xml:space="preserve"> </w:t>
      </w:r>
      <w:r w:rsidR="004A2896" w:rsidRPr="004A2896">
        <w:rPr>
          <w:b/>
          <w:bCs/>
          <w:color w:val="000000" w:themeColor="text1"/>
          <w:sz w:val="18"/>
          <w:szCs w:val="18"/>
        </w:rPr>
        <w:t>REDACTED</w:t>
      </w:r>
      <w:r w:rsidRPr="006D5C63">
        <w:rPr>
          <w:color w:val="000000" w:themeColor="text1"/>
          <w:szCs w:val="24"/>
        </w:rPr>
        <w:t>.</w:t>
      </w:r>
      <w:r w:rsidR="00145A85" w:rsidRPr="006D5C63">
        <w:rPr>
          <w:color w:val="000000" w:themeColor="text1"/>
          <w:szCs w:val="24"/>
        </w:rPr>
        <w:t xml:space="preserve"> To achieve an increase of one percent reserve margin in the summer studies requires the addition of 3</w:t>
      </w:r>
      <w:r w:rsidR="006D5C63">
        <w:rPr>
          <w:color w:val="000000" w:themeColor="text1"/>
          <w:szCs w:val="24"/>
        </w:rPr>
        <w:t>91.4</w:t>
      </w:r>
      <w:r w:rsidR="00145A85" w:rsidRPr="006D5C63">
        <w:rPr>
          <w:color w:val="000000" w:themeColor="text1"/>
          <w:szCs w:val="24"/>
        </w:rPr>
        <w:t xml:space="preserve"> MW or </w:t>
      </w:r>
      <w:r w:rsidR="00E225E7" w:rsidRPr="00E04D9A">
        <w:rPr>
          <w:b/>
          <w:bCs/>
          <w:color w:val="000000" w:themeColor="text1"/>
          <w:szCs w:val="24"/>
        </w:rPr>
        <w:t>REDACTED</w:t>
      </w:r>
      <w:r w:rsidR="00145A85" w:rsidRPr="006D5C63">
        <w:rPr>
          <w:color w:val="000000" w:themeColor="text1"/>
          <w:szCs w:val="24"/>
        </w:rPr>
        <w:t xml:space="preserve"> in carrying cost.</w:t>
      </w:r>
      <w:r w:rsidR="00A648A6">
        <w:rPr>
          <w:color w:val="000000" w:themeColor="text1"/>
          <w:szCs w:val="24"/>
        </w:rPr>
        <w:t xml:space="preserve"> </w:t>
      </w:r>
      <w:r w:rsidR="00145A85" w:rsidRPr="006D5C63">
        <w:rPr>
          <w:color w:val="000000" w:themeColor="text1"/>
          <w:szCs w:val="24"/>
        </w:rPr>
        <w:t xml:space="preserve">For the winter focus study, the cost was determined using winter performance values, resulting in a carrying cost of </w:t>
      </w:r>
      <w:r w:rsidR="00E225E7" w:rsidRPr="00AE789A">
        <w:rPr>
          <w:b/>
          <w:bCs/>
          <w:color w:val="000000" w:themeColor="text1"/>
          <w:szCs w:val="24"/>
        </w:rPr>
        <w:t>REDACTED</w:t>
      </w:r>
      <w:r w:rsidR="00145A85" w:rsidRPr="006D5C63">
        <w:rPr>
          <w:color w:val="000000" w:themeColor="text1"/>
          <w:szCs w:val="24"/>
        </w:rPr>
        <w:t>.</w:t>
      </w:r>
      <w:r w:rsidRPr="006D5C63">
        <w:rPr>
          <w:color w:val="000000" w:themeColor="text1"/>
          <w:szCs w:val="24"/>
        </w:rPr>
        <w:t xml:space="preserve"> </w:t>
      </w:r>
      <w:r w:rsidR="00875854" w:rsidRPr="006D5C63">
        <w:rPr>
          <w:color w:val="000000" w:themeColor="text1"/>
          <w:szCs w:val="24"/>
        </w:rPr>
        <w:t xml:space="preserve">To achieve an increase of one percent reserve margin </w:t>
      </w:r>
      <w:r w:rsidR="00145A85" w:rsidRPr="006D5C63">
        <w:rPr>
          <w:color w:val="000000" w:themeColor="text1"/>
          <w:szCs w:val="24"/>
        </w:rPr>
        <w:t xml:space="preserve">in the winter focus study </w:t>
      </w:r>
      <w:r w:rsidR="00875854" w:rsidRPr="006D5C63">
        <w:rPr>
          <w:color w:val="000000" w:themeColor="text1"/>
          <w:szCs w:val="24"/>
        </w:rPr>
        <w:t>requires the addition of</w:t>
      </w:r>
      <w:r w:rsidR="00A27ED3" w:rsidRPr="006D5C63">
        <w:rPr>
          <w:color w:val="000000" w:themeColor="text1"/>
          <w:szCs w:val="24"/>
        </w:rPr>
        <w:t xml:space="preserve"> </w:t>
      </w:r>
      <w:r w:rsidR="00145A85" w:rsidRPr="006D5C63">
        <w:rPr>
          <w:color w:val="000000" w:themeColor="text1"/>
          <w:szCs w:val="24"/>
        </w:rPr>
        <w:t>3</w:t>
      </w:r>
      <w:r w:rsidR="008B069A">
        <w:rPr>
          <w:color w:val="000000" w:themeColor="text1"/>
          <w:szCs w:val="24"/>
        </w:rPr>
        <w:t>83.1</w:t>
      </w:r>
      <w:r w:rsidR="00145A85" w:rsidRPr="006D5C63">
        <w:rPr>
          <w:color w:val="000000" w:themeColor="text1"/>
          <w:szCs w:val="24"/>
        </w:rPr>
        <w:t xml:space="preserve"> </w:t>
      </w:r>
      <w:r w:rsidR="00C77603" w:rsidRPr="006D5C63">
        <w:rPr>
          <w:color w:val="000000" w:themeColor="text1"/>
          <w:szCs w:val="24"/>
        </w:rPr>
        <w:t>M</w:t>
      </w:r>
      <w:r w:rsidR="00875854" w:rsidRPr="006D5C63">
        <w:rPr>
          <w:color w:val="000000" w:themeColor="text1"/>
          <w:szCs w:val="24"/>
        </w:rPr>
        <w:t xml:space="preserve">W or </w:t>
      </w:r>
      <w:r w:rsidR="00E225E7" w:rsidRPr="004A2896">
        <w:rPr>
          <w:b/>
          <w:bCs/>
          <w:color w:val="000000" w:themeColor="text1"/>
          <w:szCs w:val="24"/>
        </w:rPr>
        <w:t>REDACTED</w:t>
      </w:r>
      <w:r w:rsidR="00875854" w:rsidRPr="006D5C63">
        <w:rPr>
          <w:color w:val="000000" w:themeColor="text1"/>
          <w:szCs w:val="24"/>
        </w:rPr>
        <w:t xml:space="preserve"> in carrying cost. As more CTs are added to achieve a higher</w:t>
      </w:r>
      <w:r w:rsidR="00A27ED3" w:rsidRPr="006D5C63">
        <w:rPr>
          <w:color w:val="000000" w:themeColor="text1"/>
          <w:szCs w:val="24"/>
        </w:rPr>
        <w:t xml:space="preserve"> </w:t>
      </w:r>
      <w:r w:rsidR="00875854" w:rsidRPr="006D5C63">
        <w:rPr>
          <w:color w:val="000000" w:themeColor="text1"/>
          <w:szCs w:val="24"/>
        </w:rPr>
        <w:t xml:space="preserve">reserve margin, these carrying costs accumulate with the </w:t>
      </w:r>
      <w:r w:rsidR="00ED11EA" w:rsidRPr="006D5C63">
        <w:rPr>
          <w:color w:val="000000" w:themeColor="text1"/>
          <w:szCs w:val="24"/>
        </w:rPr>
        <w:t>megawatts</w:t>
      </w:r>
      <w:r w:rsidR="00875854" w:rsidRPr="006D5C63">
        <w:rPr>
          <w:color w:val="000000" w:themeColor="text1"/>
          <w:szCs w:val="24"/>
        </w:rPr>
        <w:t xml:space="preserve"> added. </w:t>
      </w:r>
      <w:r w:rsidRPr="006D5C63">
        <w:rPr>
          <w:color w:val="000000" w:themeColor="text1"/>
          <w:szCs w:val="24"/>
        </w:rPr>
        <w:t xml:space="preserve">This is represented in </w:t>
      </w:r>
      <w:r w:rsidR="00407B70" w:rsidRPr="006D5C63">
        <w:rPr>
          <w:color w:val="000000" w:themeColor="text1"/>
          <w:szCs w:val="24"/>
        </w:rPr>
        <w:fldChar w:fldCharType="begin"/>
      </w:r>
      <w:r w:rsidR="00407B70" w:rsidRPr="006D5C63">
        <w:rPr>
          <w:color w:val="000000" w:themeColor="text1"/>
          <w:szCs w:val="24"/>
        </w:rPr>
        <w:instrText xml:space="preserve"> REF _Ref513787069 \h </w:instrText>
      </w:r>
      <w:r w:rsidR="00943E4B" w:rsidRPr="006D5C63">
        <w:rPr>
          <w:color w:val="000000" w:themeColor="text1"/>
          <w:szCs w:val="24"/>
        </w:rPr>
        <w:instrText xml:space="preserve"> \* MERGEFORMAT </w:instrText>
      </w:r>
      <w:r w:rsidR="00407B70" w:rsidRPr="006D5C63">
        <w:rPr>
          <w:color w:val="000000" w:themeColor="text1"/>
          <w:szCs w:val="24"/>
        </w:rPr>
      </w:r>
      <w:r w:rsidR="00407B70" w:rsidRPr="006D5C63">
        <w:rPr>
          <w:color w:val="000000" w:themeColor="text1"/>
          <w:szCs w:val="24"/>
        </w:rPr>
        <w:fldChar w:fldCharType="separate"/>
      </w:r>
      <w:r w:rsidR="006461F1" w:rsidRPr="006D5C63">
        <w:rPr>
          <w:color w:val="000000" w:themeColor="text1"/>
        </w:rPr>
        <w:t xml:space="preserve">Figure </w:t>
      </w:r>
      <w:r w:rsidR="006461F1" w:rsidRPr="006D5C63">
        <w:rPr>
          <w:noProof/>
          <w:color w:val="000000" w:themeColor="text1"/>
        </w:rPr>
        <w:t>III</w:t>
      </w:r>
      <w:r w:rsidR="006461F1" w:rsidRPr="006D5C63">
        <w:rPr>
          <w:color w:val="000000" w:themeColor="text1"/>
        </w:rPr>
        <w:t>.</w:t>
      </w:r>
      <w:r w:rsidR="006461F1" w:rsidRPr="006D5C63">
        <w:rPr>
          <w:noProof/>
          <w:color w:val="000000" w:themeColor="text1"/>
        </w:rPr>
        <w:t>10</w:t>
      </w:r>
      <w:r w:rsidR="00407B70" w:rsidRPr="006D5C63">
        <w:rPr>
          <w:color w:val="000000" w:themeColor="text1"/>
          <w:szCs w:val="24"/>
        </w:rPr>
        <w:fldChar w:fldCharType="end"/>
      </w:r>
      <w:r w:rsidR="00493A31" w:rsidRPr="006D5C63">
        <w:rPr>
          <w:color w:val="000000" w:themeColor="text1"/>
          <w:szCs w:val="24"/>
        </w:rPr>
        <w:t xml:space="preserve"> below</w:t>
      </w:r>
      <w:r w:rsidR="00145A85" w:rsidRPr="006D5C63">
        <w:rPr>
          <w:color w:val="000000" w:themeColor="text1"/>
          <w:szCs w:val="24"/>
        </w:rPr>
        <w:t xml:space="preserve"> (for the winter focus study)</w:t>
      </w:r>
      <w:r w:rsidR="00C632F2" w:rsidRPr="006D5C63">
        <w:rPr>
          <w:color w:val="000000" w:themeColor="text1"/>
          <w:szCs w:val="24"/>
        </w:rPr>
        <w:t>, which</w:t>
      </w:r>
      <w:r w:rsidR="00496370" w:rsidRPr="006D5C63">
        <w:rPr>
          <w:color w:val="000000" w:themeColor="text1"/>
          <w:szCs w:val="24"/>
        </w:rPr>
        <w:t xml:space="preserve"> shows a linear increase in costs </w:t>
      </w:r>
      <w:r w:rsidRPr="006D5C63">
        <w:rPr>
          <w:color w:val="000000" w:themeColor="text1"/>
          <w:szCs w:val="24"/>
        </w:rPr>
        <w:t>when graphed as a function of reserve margin.</w:t>
      </w:r>
      <w:r w:rsidR="00A648A6">
        <w:rPr>
          <w:color w:val="000000" w:themeColor="text1"/>
          <w:szCs w:val="24"/>
        </w:rPr>
        <w:t xml:space="preserve"> </w:t>
      </w:r>
    </w:p>
    <w:p w14:paraId="4DF72539" w14:textId="106B71E0" w:rsidR="002D6EAA" w:rsidRPr="00943E4B" w:rsidRDefault="00BB56FD" w:rsidP="002D6EAA">
      <w:pPr>
        <w:keepNext/>
        <w:keepLines/>
      </w:pPr>
      <w:r>
        <w:rPr>
          <w:noProof/>
        </w:rPr>
        <mc:AlternateContent>
          <mc:Choice Requires="wps">
            <w:drawing>
              <wp:inline distT="0" distB="0" distL="0" distR="0" wp14:anchorId="30691B89" wp14:editId="00CB962C">
                <wp:extent cx="5897880" cy="4279392"/>
                <wp:effectExtent l="0" t="0" r="26670" b="26035"/>
                <wp:docPr id="44" name="Rectangle 44"/>
                <wp:cNvGraphicFramePr/>
                <a:graphic xmlns:a="http://schemas.openxmlformats.org/drawingml/2006/main">
                  <a:graphicData uri="http://schemas.microsoft.com/office/word/2010/wordprocessingShape">
                    <wps:wsp>
                      <wps:cNvSpPr/>
                      <wps:spPr>
                        <a:xfrm>
                          <a:off x="0" y="0"/>
                          <a:ext cx="5897880" cy="4279392"/>
                        </a:xfrm>
                        <a:prstGeom prst="rect">
                          <a:avLst/>
                        </a:prstGeom>
                        <a:ln/>
                      </wps:spPr>
                      <wps:style>
                        <a:lnRef idx="2">
                          <a:schemeClr val="dk1"/>
                        </a:lnRef>
                        <a:fillRef idx="1">
                          <a:schemeClr val="lt1"/>
                        </a:fillRef>
                        <a:effectRef idx="0">
                          <a:schemeClr val="dk1"/>
                        </a:effectRef>
                        <a:fontRef idx="minor">
                          <a:schemeClr val="dk1"/>
                        </a:fontRef>
                      </wps:style>
                      <wps:txbx>
                        <w:txbxContent>
                          <w:p w14:paraId="434BD39F" w14:textId="4A7D2E85" w:rsidR="00BB56FD" w:rsidRDefault="00BB56FD" w:rsidP="003A5C62">
                            <w:pPr>
                              <w:jc w:val="center"/>
                            </w:pPr>
                            <w:r w:rsidRPr="003A5C62">
                              <w:rPr>
                                <w:b/>
                              </w:rPr>
                              <w:t>REDACTED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0691B89" id="Rectangle 44" o:spid="_x0000_s1030" style="width:464.4pt;height:336.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" fillcolor="white [3201]" strokecolor="black [3200]" strokeweight="2pt">
                <v:textbox>
                  <w:txbxContent>
                    <w:p w14:paraId="434BD39F" w14:textId="4A7D2E85" w:rsidR="00BB56FD" w:rsidRDefault="00BB56FD" w:rsidP="003A5C62">
                      <w:pPr>
                        <w:jc w:val="center"/>
                      </w:pPr>
                      <w:r w:rsidRPr="003A5C62">
                        <w:rPr>
                          <w:b/>
                        </w:rPr>
                        <w:t>REDACTED</w:t>
                      </w:r>
                    </w:p>
                  </w:txbxContent>
                </v:textbox>
                <w10:anchorlock/>
              </v:rect>
            </w:pict>
          </mc:Fallback>
        </mc:AlternateContent>
      </w:r>
    </w:p>
    <w:p w14:paraId="1D5BCD02" w14:textId="68F41EDE" w:rsidR="00CF5F2D" w:rsidRPr="00943E4B" w:rsidRDefault="002D6EAA" w:rsidP="002D6EAA">
      <w:pPr>
        <w:pStyle w:val="Caption"/>
        <w:jc w:val="both"/>
        <w:rPr>
          <w:noProof/>
        </w:rPr>
      </w:pPr>
      <w:bookmarkStart w:id="409" w:name="_Ref513787069"/>
      <w:bookmarkStart w:id="410" w:name="_Toc513710600"/>
      <w:bookmarkStart w:id="411" w:name="_Toc187234687"/>
      <w:r w:rsidRPr="00943E4B">
        <w:t xml:space="preserve">Figure </w:t>
      </w:r>
      <w:r w:rsidR="00F262E6">
        <w:fldChar w:fldCharType="begin"/>
      </w:r>
      <w:r w:rsidR="00F262E6">
        <w:instrText xml:space="preserve"> STYLEREF 1 \s </w:instrText>
      </w:r>
      <w:r w:rsidR="00F262E6">
        <w:fldChar w:fldCharType="separate"/>
      </w:r>
      <w:r w:rsidR="00F262E6">
        <w:rPr>
          <w:noProof/>
        </w:rPr>
        <w:t>III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10</w:t>
      </w:r>
      <w:r w:rsidR="00F262E6">
        <w:fldChar w:fldCharType="end"/>
      </w:r>
      <w:bookmarkEnd w:id="409"/>
      <w:r w:rsidRPr="00943E4B">
        <w:t xml:space="preserve">. </w:t>
      </w:r>
      <w:r w:rsidR="00631B56" w:rsidRPr="00943E4B">
        <w:t xml:space="preserve">Incremental </w:t>
      </w:r>
      <w:r w:rsidRPr="00943E4B">
        <w:t>Capacity Cost</w:t>
      </w:r>
      <w:bookmarkEnd w:id="410"/>
      <w:r w:rsidR="00F05BBE" w:rsidRPr="00943E4B">
        <w:t xml:space="preserve"> (Winter Focus)</w:t>
      </w:r>
      <w:bookmarkEnd w:id="411"/>
    </w:p>
    <w:p w14:paraId="65D47C46" w14:textId="77777777" w:rsidR="00E47F2D" w:rsidRPr="00943E4B" w:rsidRDefault="00E47F2D" w:rsidP="00DB641B">
      <w:pPr>
        <w:keepLines/>
      </w:pPr>
    </w:p>
    <w:p w14:paraId="23B06C43" w14:textId="1BFF03A2" w:rsidR="00383D8A" w:rsidRPr="00943E4B" w:rsidRDefault="00E23B4E" w:rsidP="00C56A27">
      <w:pPr>
        <w:numPr>
          <w:ilvl w:val="0"/>
          <w:numId w:val="10"/>
        </w:numPr>
        <w:rPr>
          <w:b/>
          <w:bCs/>
        </w:rPr>
      </w:pPr>
      <w:r w:rsidRPr="00943E4B">
        <w:rPr>
          <w:b/>
          <w:bCs/>
        </w:rPr>
        <w:t>Reliability Costs</w:t>
      </w:r>
    </w:p>
    <w:p w14:paraId="2F1911EE" w14:textId="568EB6F8" w:rsidR="00993373" w:rsidRPr="0078271A" w:rsidRDefault="00E23B4E" w:rsidP="00217F0E">
      <w:r w:rsidRPr="72252BFC">
        <w:t xml:space="preserve">Reliability Costs are the sum of the cost of EUE, the cost of any shortfalls in meeting required operating reserves, the cost of emergency purchases, and cost of demand response calls. </w:t>
      </w:r>
      <w:r w:rsidR="00993373" w:rsidRPr="72252BFC">
        <w:t>The cost of EUE is determined by multiplying the amounts of EUE</w:t>
      </w:r>
      <w:r w:rsidR="00496370" w:rsidRPr="72252BFC">
        <w:t xml:space="preserve"> in MWh</w:t>
      </w:r>
      <w:r w:rsidR="00993373" w:rsidRPr="72252BFC">
        <w:t xml:space="preserve"> at each reserve level created in the analysis by the assumed cost of EUE</w:t>
      </w:r>
      <w:r w:rsidR="00496370" w:rsidRPr="72252BFC">
        <w:t xml:space="preserve"> in $/MWh</w:t>
      </w:r>
      <w:r w:rsidR="00BA71A1" w:rsidRPr="72252BFC">
        <w:t xml:space="preserve"> </w:t>
      </w:r>
      <w:r w:rsidR="029E639E" w:rsidRPr="72252BFC">
        <w:t xml:space="preserve">as </w:t>
      </w:r>
      <w:r w:rsidR="00EB1F8D">
        <w:t xml:space="preserve">shown in </w:t>
      </w:r>
      <w:r w:rsidR="001335BC">
        <w:fldChar w:fldCharType="begin"/>
      </w:r>
      <w:r w:rsidR="001335BC">
        <w:instrText xml:space="preserve"> REF _Ref513785933 \h </w:instrText>
      </w:r>
      <w:r w:rsidR="001335BC">
        <w:fldChar w:fldCharType="separate"/>
      </w:r>
      <w:r w:rsidR="001335BC">
        <w:t xml:space="preserve">Table </w:t>
      </w:r>
      <w:r w:rsidR="001335BC">
        <w:rPr>
          <w:noProof/>
        </w:rPr>
        <w:t>I</w:t>
      </w:r>
      <w:r w:rsidR="001335BC">
        <w:noBreakHyphen/>
      </w:r>
      <w:r w:rsidR="001335BC">
        <w:rPr>
          <w:noProof/>
        </w:rPr>
        <w:t>9</w:t>
      </w:r>
      <w:r w:rsidR="001335BC">
        <w:fldChar w:fldCharType="end"/>
      </w:r>
      <w:r w:rsidR="001335BC">
        <w:t xml:space="preserve"> </w:t>
      </w:r>
      <w:r w:rsidR="00BA71A1" w:rsidRPr="72252BFC">
        <w:t>(with EUE in the winter being multiplied by the winter cost of outage</w:t>
      </w:r>
      <w:r w:rsidR="47019371" w:rsidRPr="72252BFC">
        <w:t>, $40,280/MWh</w:t>
      </w:r>
      <w:r w:rsidR="00BA71A1" w:rsidRPr="72252BFC">
        <w:t xml:space="preserve"> and EUE in all other months multiplied by the summer cost of outage</w:t>
      </w:r>
      <w:r w:rsidR="4BD74220" w:rsidRPr="72252BFC">
        <w:t>, $60,630/MWh</w:t>
      </w:r>
      <w:r w:rsidR="00BA71A1">
        <w:rPr>
          <w:szCs w:val="24"/>
        </w:rPr>
        <w:t>)</w:t>
      </w:r>
      <w:r w:rsidR="00993373" w:rsidRPr="00372AC4">
        <w:rPr>
          <w:szCs w:val="24"/>
        </w:rPr>
        <w:t>.</w:t>
      </w:r>
      <w:r w:rsidRPr="72252BFC">
        <w:t xml:space="preserve"> The cost of meeting shortfalls in spinning and regulating reserves are included in the cost of EUE as the model curtails load to maintain these requirements. The cost of meeting supplement</w:t>
      </w:r>
      <w:r w:rsidR="002420FB" w:rsidRPr="72252BFC">
        <w:t>al</w:t>
      </w:r>
      <w:r>
        <w:rPr>
          <w:szCs w:val="24"/>
        </w:rPr>
        <w:t xml:space="preserve"> (</w:t>
      </w:r>
      <w:r w:rsidRPr="21F6B429">
        <w:rPr>
          <w:i/>
        </w:rPr>
        <w:t>i.e.</w:t>
      </w:r>
      <w:r w:rsidRPr="72252BFC">
        <w:t xml:space="preserve">, non-spin) reserve requirements is determined by the </w:t>
      </w:r>
      <w:r w:rsidR="00BB6F5D" w:rsidRPr="72252BFC">
        <w:t>market price</w:t>
      </w:r>
      <w:r>
        <w:rPr>
          <w:szCs w:val="24"/>
        </w:rPr>
        <w:t xml:space="preserve"> </w:t>
      </w:r>
      <w:r w:rsidRPr="72252BFC">
        <w:t xml:space="preserve">at the time of the shortfall. The cost of demand response calls is determined by the presumed dispatch price for each demand response program as established by the </w:t>
      </w:r>
      <w:r w:rsidR="0051775B" w:rsidRPr="72252BFC">
        <w:t>Operating Companies</w:t>
      </w:r>
      <w:r w:rsidRPr="0078271A">
        <w:rPr>
          <w:szCs w:val="24"/>
        </w:rPr>
        <w:t>.</w:t>
      </w:r>
      <w:r w:rsidR="00993373" w:rsidRPr="0078271A">
        <w:rPr>
          <w:szCs w:val="24"/>
        </w:rPr>
        <w:t xml:space="preserve"> </w:t>
      </w:r>
      <w:r w:rsidR="00407B70">
        <w:rPr>
          <w:szCs w:val="24"/>
        </w:rPr>
        <w:fldChar w:fldCharType="begin"/>
      </w:r>
      <w:r w:rsidR="00407B70">
        <w:rPr>
          <w:szCs w:val="24"/>
        </w:rPr>
        <w:instrText xml:space="preserve"> REF _Ref513787086 \h </w:instrText>
      </w:r>
      <w:r w:rsidR="00407B70">
        <w:rPr>
          <w:szCs w:val="24"/>
        </w:rPr>
      </w:r>
      <w:r w:rsidR="00407B70">
        <w:rPr>
          <w:szCs w:val="24"/>
        </w:rPr>
        <w:fldChar w:fldCharType="separate"/>
      </w:r>
      <w:r w:rsidR="004E5776">
        <w:t xml:space="preserve">Figure </w:t>
      </w:r>
      <w:r w:rsidR="004E5776">
        <w:rPr>
          <w:noProof/>
        </w:rPr>
        <w:t>III</w:t>
      </w:r>
      <w:r w:rsidR="004E5776">
        <w:t>.</w:t>
      </w:r>
      <w:r w:rsidR="004E5776">
        <w:rPr>
          <w:noProof/>
        </w:rPr>
        <w:t>11</w:t>
      </w:r>
      <w:r w:rsidR="00407B70">
        <w:rPr>
          <w:szCs w:val="24"/>
        </w:rPr>
        <w:fldChar w:fldCharType="end"/>
      </w:r>
      <w:r w:rsidR="00493A31" w:rsidRPr="72252BFC">
        <w:t xml:space="preserve"> below</w:t>
      </w:r>
      <w:r w:rsidR="00107543" w:rsidRPr="0078271A">
        <w:rPr>
          <w:szCs w:val="24"/>
        </w:rPr>
        <w:t xml:space="preserve"> </w:t>
      </w:r>
      <w:r w:rsidR="00993373" w:rsidRPr="72252BFC">
        <w:t xml:space="preserve">illustrates </w:t>
      </w:r>
      <w:r w:rsidRPr="72252BFC">
        <w:t xml:space="preserve">Reliability Cost </w:t>
      </w:r>
      <w:r w:rsidR="00993373" w:rsidRPr="72252BFC">
        <w:t xml:space="preserve">as a function of </w:t>
      </w:r>
      <w:r w:rsidRPr="72252BFC">
        <w:t xml:space="preserve">winter </w:t>
      </w:r>
      <w:r w:rsidR="00993373" w:rsidRPr="72252BFC">
        <w:t>reserve margin.</w:t>
      </w:r>
    </w:p>
    <w:p w14:paraId="6FD1AC47" w14:textId="77777777" w:rsidR="008E0FB7" w:rsidRPr="0078271A" w:rsidRDefault="008E0FB7" w:rsidP="00217F0E">
      <w:pPr>
        <w:rPr>
          <w:sz w:val="18"/>
          <w:szCs w:val="24"/>
        </w:rPr>
      </w:pPr>
    </w:p>
    <w:p w14:paraId="59CB114F" w14:textId="130084DB" w:rsidR="002D6EAA" w:rsidRDefault="00BB6F5D" w:rsidP="002D6EAA">
      <w:pPr>
        <w:keepNext/>
      </w:pPr>
      <w:r>
        <w:rPr>
          <w:noProof/>
        </w:rPr>
        <w:drawing>
          <wp:inline distT="0" distB="0" distL="0" distR="0" wp14:anchorId="41771A97" wp14:editId="0EB5359E">
            <wp:extent cx="5926191" cy="4305300"/>
            <wp:effectExtent l="0" t="0" r="0" b="0"/>
            <wp:docPr id="138565983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2805" cy="4310105"/>
                    </a:xfrm>
                    <a:prstGeom prst="rect">
                      <a:avLst/>
                    </a:prstGeom>
                    <a:noFill/>
                  </pic:spPr>
                </pic:pic>
              </a:graphicData>
            </a:graphic>
          </wp:inline>
        </w:drawing>
      </w:r>
    </w:p>
    <w:p w14:paraId="5E63E4BB" w14:textId="32D4A856" w:rsidR="002F267A" w:rsidRDefault="002D6EAA" w:rsidP="002D6EAA">
      <w:pPr>
        <w:pStyle w:val="Caption"/>
        <w:jc w:val="both"/>
        <w:rPr>
          <w:szCs w:val="24"/>
        </w:rPr>
      </w:pPr>
      <w:bookmarkStart w:id="412" w:name="_Ref513787086"/>
      <w:bookmarkStart w:id="413" w:name="_Toc513710601"/>
      <w:bookmarkStart w:id="414" w:name="_Toc187234688"/>
      <w:r>
        <w:t xml:space="preserve">Figure </w:t>
      </w:r>
      <w:r w:rsidR="00F262E6">
        <w:fldChar w:fldCharType="begin"/>
      </w:r>
      <w:r w:rsidR="00F262E6">
        <w:instrText xml:space="preserve"> STYLEREF 1 \s </w:instrText>
      </w:r>
      <w:r w:rsidR="00F262E6">
        <w:fldChar w:fldCharType="separate"/>
      </w:r>
      <w:r w:rsidR="00F262E6">
        <w:rPr>
          <w:noProof/>
        </w:rPr>
        <w:t>III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11</w:t>
      </w:r>
      <w:r w:rsidR="00F262E6">
        <w:fldChar w:fldCharType="end"/>
      </w:r>
      <w:bookmarkEnd w:id="412"/>
      <w:r>
        <w:t>. Reliability Cost</w:t>
      </w:r>
      <w:bookmarkEnd w:id="413"/>
      <w:bookmarkEnd w:id="414"/>
    </w:p>
    <w:p w14:paraId="032A15BC" w14:textId="77777777" w:rsidR="002D6EAA" w:rsidRDefault="002D6EAA" w:rsidP="00217F0E">
      <w:pPr>
        <w:rPr>
          <w:szCs w:val="24"/>
        </w:rPr>
      </w:pPr>
    </w:p>
    <w:p w14:paraId="408F75CA" w14:textId="77777777" w:rsidR="00875854" w:rsidRPr="00062FC2" w:rsidRDefault="00875854" w:rsidP="00C56A27">
      <w:pPr>
        <w:keepLines/>
        <w:numPr>
          <w:ilvl w:val="0"/>
          <w:numId w:val="10"/>
        </w:numPr>
        <w:rPr>
          <w:b/>
          <w:bCs/>
        </w:rPr>
      </w:pPr>
      <w:bookmarkStart w:id="415" w:name="_Toc440447922"/>
      <w:bookmarkStart w:id="416" w:name="_Toc440457972"/>
      <w:bookmarkStart w:id="417" w:name="_Toc440458386"/>
      <w:r w:rsidRPr="00062FC2">
        <w:rPr>
          <w:b/>
          <w:bCs/>
        </w:rPr>
        <w:t>Production Cost</w:t>
      </w:r>
      <w:bookmarkEnd w:id="415"/>
      <w:bookmarkEnd w:id="416"/>
      <w:bookmarkEnd w:id="417"/>
    </w:p>
    <w:p w14:paraId="5AA693C7" w14:textId="3BE1F950" w:rsidR="00FC1993" w:rsidRDefault="0078705D" w:rsidP="00DB641B">
      <w:pPr>
        <w:keepLines/>
        <w:rPr>
          <w:szCs w:val="24"/>
        </w:rPr>
      </w:pPr>
      <w:bookmarkStart w:id="418" w:name="_Hlk534634949"/>
      <w:r w:rsidRPr="00421157">
        <w:rPr>
          <w:szCs w:val="24"/>
        </w:rPr>
        <w:t>Production</w:t>
      </w:r>
      <w:r w:rsidR="00FC1993" w:rsidRPr="00B138F0">
        <w:rPr>
          <w:szCs w:val="24"/>
        </w:rPr>
        <w:t xml:space="preserve"> </w:t>
      </w:r>
      <w:r w:rsidR="00AF4B16">
        <w:rPr>
          <w:szCs w:val="24"/>
        </w:rPr>
        <w:t>C</w:t>
      </w:r>
      <w:r w:rsidR="00AF4B16" w:rsidRPr="00B138F0">
        <w:rPr>
          <w:szCs w:val="24"/>
        </w:rPr>
        <w:t xml:space="preserve">osts </w:t>
      </w:r>
      <w:r w:rsidRPr="00372AC4">
        <w:rPr>
          <w:szCs w:val="24"/>
        </w:rPr>
        <w:t>include the variable operating costs of units</w:t>
      </w:r>
      <w:r w:rsidR="00493A31">
        <w:rPr>
          <w:szCs w:val="24"/>
        </w:rPr>
        <w:t>,</w:t>
      </w:r>
      <w:r w:rsidRPr="00372AC4">
        <w:rPr>
          <w:szCs w:val="24"/>
        </w:rPr>
        <w:t xml:space="preserve"> </w:t>
      </w:r>
      <w:r w:rsidR="00915188" w:rsidRPr="00372AC4">
        <w:rPr>
          <w:szCs w:val="24"/>
        </w:rPr>
        <w:t>plus</w:t>
      </w:r>
      <w:r w:rsidR="00512A84">
        <w:rPr>
          <w:szCs w:val="24"/>
        </w:rPr>
        <w:t xml:space="preserve"> the cost of</w:t>
      </w:r>
      <w:r w:rsidR="00915188" w:rsidRPr="00372AC4">
        <w:rPr>
          <w:szCs w:val="24"/>
        </w:rPr>
        <w:t xml:space="preserve"> any</w:t>
      </w:r>
      <w:r w:rsidRPr="00372AC4">
        <w:rPr>
          <w:szCs w:val="24"/>
        </w:rPr>
        <w:t xml:space="preserve"> purchases </w:t>
      </w:r>
      <w:r w:rsidR="00512A84">
        <w:rPr>
          <w:szCs w:val="24"/>
        </w:rPr>
        <w:t>with neighboring regions</w:t>
      </w:r>
      <w:r w:rsidR="00493A31">
        <w:rPr>
          <w:szCs w:val="24"/>
        </w:rPr>
        <w:t>,</w:t>
      </w:r>
      <w:r w:rsidR="00512A84">
        <w:rPr>
          <w:szCs w:val="24"/>
        </w:rPr>
        <w:t xml:space="preserve"> less the cost of any</w:t>
      </w:r>
      <w:r w:rsidRPr="00372AC4">
        <w:rPr>
          <w:szCs w:val="24"/>
        </w:rPr>
        <w:t xml:space="preserve"> sales with neighboring regions.</w:t>
      </w:r>
      <w:bookmarkEnd w:id="418"/>
      <w:r w:rsidR="00992D59">
        <w:rPr>
          <w:szCs w:val="24"/>
        </w:rPr>
        <w:t xml:space="preserve"> Production costs at each reserve margin le</w:t>
      </w:r>
      <w:r w:rsidR="0078271A">
        <w:rPr>
          <w:szCs w:val="24"/>
        </w:rPr>
        <w:t xml:space="preserve">vel can be seen in </w:t>
      </w:r>
      <w:r w:rsidR="00407B70">
        <w:rPr>
          <w:szCs w:val="24"/>
        </w:rPr>
        <w:fldChar w:fldCharType="begin"/>
      </w:r>
      <w:r w:rsidR="00407B70">
        <w:rPr>
          <w:szCs w:val="24"/>
        </w:rPr>
        <w:instrText xml:space="preserve"> REF _Ref513787096 \h </w:instrText>
      </w:r>
      <w:r w:rsidR="00407B70">
        <w:rPr>
          <w:szCs w:val="24"/>
        </w:rPr>
      </w:r>
      <w:r w:rsidR="00407B70">
        <w:rPr>
          <w:szCs w:val="24"/>
        </w:rPr>
        <w:fldChar w:fldCharType="separate"/>
      </w:r>
      <w:r w:rsidR="004E5776" w:rsidRPr="00AF796F">
        <w:t xml:space="preserve">Figure </w:t>
      </w:r>
      <w:r w:rsidR="004E5776">
        <w:rPr>
          <w:noProof/>
        </w:rPr>
        <w:t>III</w:t>
      </w:r>
      <w:r w:rsidR="004E5776">
        <w:t>.</w:t>
      </w:r>
      <w:r w:rsidR="004E5776">
        <w:rPr>
          <w:noProof/>
        </w:rPr>
        <w:t>12</w:t>
      </w:r>
      <w:r w:rsidR="00407B70">
        <w:rPr>
          <w:szCs w:val="24"/>
        </w:rPr>
        <w:fldChar w:fldCharType="end"/>
      </w:r>
      <w:r w:rsidR="00493A31">
        <w:rPr>
          <w:szCs w:val="24"/>
        </w:rPr>
        <w:t xml:space="preserve"> below</w:t>
      </w:r>
      <w:r w:rsidR="00992D59">
        <w:rPr>
          <w:szCs w:val="24"/>
        </w:rPr>
        <w:t>.</w:t>
      </w:r>
    </w:p>
    <w:p w14:paraId="43801861" w14:textId="77777777" w:rsidR="00372292" w:rsidRPr="00372AC4" w:rsidRDefault="00372292" w:rsidP="00DB641B">
      <w:pPr>
        <w:keepLines/>
        <w:rPr>
          <w:szCs w:val="24"/>
        </w:rPr>
      </w:pPr>
    </w:p>
    <w:p w14:paraId="243407F9" w14:textId="18C08E96" w:rsidR="002D6EAA" w:rsidRDefault="00BB6F5D" w:rsidP="002D6EAA">
      <w:pPr>
        <w:keepNext/>
        <w:keepLines/>
      </w:pPr>
      <w:r>
        <w:rPr>
          <w:noProof/>
        </w:rPr>
        <w:drawing>
          <wp:inline distT="0" distB="0" distL="0" distR="0" wp14:anchorId="7C33B1E2" wp14:editId="20A9F2DB">
            <wp:extent cx="5842279" cy="4244340"/>
            <wp:effectExtent l="0" t="0" r="0" b="0"/>
            <wp:docPr id="33037339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860654" cy="4257689"/>
                    </a:xfrm>
                    <a:prstGeom prst="rect">
                      <a:avLst/>
                    </a:prstGeom>
                    <a:noFill/>
                  </pic:spPr>
                </pic:pic>
              </a:graphicData>
            </a:graphic>
          </wp:inline>
        </w:drawing>
      </w:r>
    </w:p>
    <w:p w14:paraId="7B22A0EA" w14:textId="256E2952" w:rsidR="00CF5F2D" w:rsidRPr="00C627E2" w:rsidRDefault="002D6EAA" w:rsidP="002D6EAA">
      <w:pPr>
        <w:pStyle w:val="Caption"/>
        <w:jc w:val="both"/>
      </w:pPr>
      <w:bookmarkStart w:id="419" w:name="_Ref513787096"/>
      <w:bookmarkStart w:id="420" w:name="_Toc513710602"/>
      <w:bookmarkStart w:id="421" w:name="_Toc187234689"/>
      <w:r w:rsidRPr="00AF796F">
        <w:t xml:space="preserve">Figure </w:t>
      </w:r>
      <w:r w:rsidR="00F262E6">
        <w:fldChar w:fldCharType="begin"/>
      </w:r>
      <w:r w:rsidR="00F262E6">
        <w:instrText xml:space="preserve"> STYLEREF 1 \s </w:instrText>
      </w:r>
      <w:r w:rsidR="00F262E6">
        <w:fldChar w:fldCharType="separate"/>
      </w:r>
      <w:r w:rsidR="00F262E6">
        <w:rPr>
          <w:noProof/>
        </w:rPr>
        <w:t>III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12</w:t>
      </w:r>
      <w:r w:rsidR="00F262E6">
        <w:fldChar w:fldCharType="end"/>
      </w:r>
      <w:bookmarkEnd w:id="419"/>
      <w:r w:rsidRPr="00AF796F">
        <w:t>. Production Cost</w:t>
      </w:r>
      <w:bookmarkEnd w:id="420"/>
      <w:bookmarkEnd w:id="421"/>
    </w:p>
    <w:p w14:paraId="7A841974" w14:textId="77777777" w:rsidR="008E57D4" w:rsidRPr="00124600" w:rsidRDefault="008E57D4" w:rsidP="00DB641B">
      <w:pPr>
        <w:keepLines/>
      </w:pPr>
    </w:p>
    <w:p w14:paraId="38D17F70" w14:textId="1C2BE2DB" w:rsidR="00A674B4" w:rsidRDefault="004520AF" w:rsidP="00DB641B">
      <w:pPr>
        <w:keepLines/>
        <w:rPr>
          <w:szCs w:val="24"/>
        </w:rPr>
      </w:pPr>
      <w:r w:rsidRPr="00C627E2">
        <w:rPr>
          <w:szCs w:val="24"/>
        </w:rPr>
        <w:t>As expected,</w:t>
      </w:r>
      <w:r w:rsidR="00993373" w:rsidRPr="00421157">
        <w:rPr>
          <w:szCs w:val="24"/>
        </w:rPr>
        <w:t xml:space="preserve"> </w:t>
      </w:r>
      <w:r w:rsidR="00AF4B16">
        <w:rPr>
          <w:szCs w:val="24"/>
        </w:rPr>
        <w:t>Reliability Costs</w:t>
      </w:r>
      <w:r w:rsidR="00AF4B16" w:rsidRPr="00421157">
        <w:rPr>
          <w:szCs w:val="24"/>
        </w:rPr>
        <w:t xml:space="preserve"> </w:t>
      </w:r>
      <w:r w:rsidR="00993373" w:rsidRPr="00421157">
        <w:rPr>
          <w:szCs w:val="24"/>
        </w:rPr>
        <w:t xml:space="preserve">and </w:t>
      </w:r>
      <w:r w:rsidR="00AF4B16">
        <w:rPr>
          <w:szCs w:val="24"/>
        </w:rPr>
        <w:t>P</w:t>
      </w:r>
      <w:r w:rsidR="00AF4B16" w:rsidRPr="00B138F0">
        <w:rPr>
          <w:szCs w:val="24"/>
        </w:rPr>
        <w:t xml:space="preserve">roduction </w:t>
      </w:r>
      <w:r w:rsidR="00AF4B16">
        <w:rPr>
          <w:szCs w:val="24"/>
        </w:rPr>
        <w:t>C</w:t>
      </w:r>
      <w:r w:rsidR="00AF4B16" w:rsidRPr="00B138F0">
        <w:rPr>
          <w:szCs w:val="24"/>
        </w:rPr>
        <w:t>osts</w:t>
      </w:r>
      <w:r w:rsidR="00AF4B16" w:rsidRPr="00372AC4">
        <w:rPr>
          <w:szCs w:val="24"/>
        </w:rPr>
        <w:t xml:space="preserve"> </w:t>
      </w:r>
      <w:r w:rsidR="0078705D" w:rsidRPr="00372AC4">
        <w:rPr>
          <w:szCs w:val="24"/>
        </w:rPr>
        <w:t>decrease</w:t>
      </w:r>
      <w:r w:rsidR="00993373" w:rsidRPr="00372AC4">
        <w:rPr>
          <w:szCs w:val="24"/>
        </w:rPr>
        <w:t xml:space="preserve"> as reserve margin </w:t>
      </w:r>
      <w:r w:rsidR="006471BF">
        <w:rPr>
          <w:szCs w:val="24"/>
        </w:rPr>
        <w:t>increases</w:t>
      </w:r>
      <w:r w:rsidR="00993373" w:rsidRPr="00372AC4">
        <w:rPr>
          <w:szCs w:val="24"/>
        </w:rPr>
        <w:t>.</w:t>
      </w:r>
      <w:r w:rsidR="00A648A6">
        <w:rPr>
          <w:szCs w:val="24"/>
        </w:rPr>
        <w:t xml:space="preserve"> </w:t>
      </w:r>
      <w:r w:rsidRPr="00372AC4">
        <w:rPr>
          <w:szCs w:val="24"/>
        </w:rPr>
        <w:t>Conversely</w:t>
      </w:r>
      <w:r w:rsidR="00993373" w:rsidRPr="00372AC4">
        <w:rPr>
          <w:szCs w:val="24"/>
        </w:rPr>
        <w:t xml:space="preserve">, their costs increase as the reserve margin </w:t>
      </w:r>
      <w:r w:rsidR="00AA536F">
        <w:rPr>
          <w:szCs w:val="24"/>
        </w:rPr>
        <w:t>is reduced</w:t>
      </w:r>
      <w:r w:rsidR="00993373" w:rsidRPr="00372AC4">
        <w:rPr>
          <w:szCs w:val="24"/>
        </w:rPr>
        <w:t>.</w:t>
      </w:r>
    </w:p>
    <w:p w14:paraId="43F914B4" w14:textId="459C09F8" w:rsidR="00286AFD" w:rsidRDefault="00286AFD" w:rsidP="00DB641B">
      <w:pPr>
        <w:keepLines/>
        <w:rPr>
          <w:szCs w:val="24"/>
        </w:rPr>
      </w:pPr>
      <w:bookmarkStart w:id="422" w:name="_Hlk87426069"/>
    </w:p>
    <w:p w14:paraId="2229C789" w14:textId="103247C3" w:rsidR="00286AFD" w:rsidRDefault="00286AFD" w:rsidP="00A76839">
      <w:pPr>
        <w:pStyle w:val="Heading2"/>
        <w:numPr>
          <w:ilvl w:val="1"/>
          <w:numId w:val="13"/>
        </w:numPr>
        <w:ind w:left="360"/>
      </w:pPr>
      <w:bookmarkStart w:id="423" w:name="_Toc187234620"/>
      <w:r>
        <w:t>Components of the Winter Target Reserve Margin</w:t>
      </w:r>
      <w:bookmarkEnd w:id="423"/>
    </w:p>
    <w:p w14:paraId="0E373B00" w14:textId="73932B6F" w:rsidR="00286AFD" w:rsidRDefault="003866F3" w:rsidP="00286AFD">
      <w:pPr>
        <w:keepLines/>
        <w:rPr>
          <w:szCs w:val="24"/>
        </w:rPr>
      </w:pPr>
      <w:r>
        <w:rPr>
          <w:szCs w:val="24"/>
        </w:rPr>
        <w:t xml:space="preserve">To fully understand the relative contribution of the components of the overall </w:t>
      </w:r>
      <w:r w:rsidR="00246E38">
        <w:rPr>
          <w:szCs w:val="24"/>
        </w:rPr>
        <w:t>target reserve margin,</w:t>
      </w:r>
      <w:r>
        <w:rPr>
          <w:szCs w:val="24"/>
        </w:rPr>
        <w:t xml:space="preserve"> several individual sensitivities were run for each of the following components of uncertainty: weather, market risk, unit performance, </w:t>
      </w:r>
      <w:r w:rsidR="00B41B1D">
        <w:rPr>
          <w:szCs w:val="24"/>
        </w:rPr>
        <w:t>load forecast error</w:t>
      </w:r>
      <w:r>
        <w:rPr>
          <w:szCs w:val="24"/>
        </w:rPr>
        <w:t xml:space="preserve">, and fuel supply. </w:t>
      </w:r>
      <w:r w:rsidR="008960DD">
        <w:rPr>
          <w:szCs w:val="24"/>
        </w:rPr>
        <w:fldChar w:fldCharType="begin"/>
      </w:r>
      <w:r w:rsidR="008960DD">
        <w:rPr>
          <w:szCs w:val="24"/>
        </w:rPr>
        <w:instrText xml:space="preserve"> REF _Ref87425783 \h </w:instrText>
      </w:r>
      <w:r w:rsidR="008960DD">
        <w:rPr>
          <w:szCs w:val="24"/>
        </w:rPr>
      </w:r>
      <w:r w:rsidR="008960DD">
        <w:rPr>
          <w:szCs w:val="24"/>
        </w:rPr>
        <w:fldChar w:fldCharType="separate"/>
      </w:r>
      <w:r w:rsidR="00246E38">
        <w:t xml:space="preserve">Figure </w:t>
      </w:r>
      <w:r w:rsidR="00246E38">
        <w:rPr>
          <w:noProof/>
        </w:rPr>
        <w:t>III</w:t>
      </w:r>
      <w:r w:rsidR="00246E38">
        <w:t>.</w:t>
      </w:r>
      <w:r w:rsidR="00246E38">
        <w:rPr>
          <w:noProof/>
        </w:rPr>
        <w:t>13</w:t>
      </w:r>
      <w:r w:rsidR="008960DD">
        <w:rPr>
          <w:szCs w:val="24"/>
        </w:rPr>
        <w:fldChar w:fldCharType="end"/>
      </w:r>
      <w:r w:rsidR="00493A31">
        <w:rPr>
          <w:szCs w:val="24"/>
        </w:rPr>
        <w:t xml:space="preserve"> below</w:t>
      </w:r>
      <w:r w:rsidR="008960DD">
        <w:rPr>
          <w:szCs w:val="24"/>
        </w:rPr>
        <w:t xml:space="preserve"> shows the contribution of all components toward the overall require</w:t>
      </w:r>
      <w:r w:rsidR="00C8691D">
        <w:rPr>
          <w:szCs w:val="24"/>
        </w:rPr>
        <w:t>d</w:t>
      </w:r>
      <w:r w:rsidR="008960DD">
        <w:rPr>
          <w:szCs w:val="24"/>
        </w:rPr>
        <w:t xml:space="preserve"> Winter TRM of 26%.</w:t>
      </w:r>
    </w:p>
    <w:bookmarkEnd w:id="422"/>
    <w:p w14:paraId="4C8DA00E" w14:textId="70421BEA" w:rsidR="001506DC" w:rsidRDefault="001506DC" w:rsidP="00286AFD">
      <w:pPr>
        <w:keepLines/>
        <w:rPr>
          <w:szCs w:val="24"/>
        </w:rPr>
      </w:pPr>
    </w:p>
    <w:p w14:paraId="537E6BD9" w14:textId="4A21434C" w:rsidR="001506DC" w:rsidRDefault="00AC1074" w:rsidP="001506DC">
      <w:pPr>
        <w:keepNext/>
        <w:keepLines/>
      </w:pPr>
      <w:r>
        <w:rPr>
          <w:noProof/>
        </w:rPr>
        <w:drawing>
          <wp:inline distT="0" distB="0" distL="0" distR="0" wp14:anchorId="1BCB64EB" wp14:editId="61AD6943">
            <wp:extent cx="5887103" cy="4255770"/>
            <wp:effectExtent l="0" t="0" r="0" b="0"/>
            <wp:docPr id="97853738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92126" cy="4259401"/>
                    </a:xfrm>
                    <a:prstGeom prst="rect">
                      <a:avLst/>
                    </a:prstGeom>
                    <a:noFill/>
                  </pic:spPr>
                </pic:pic>
              </a:graphicData>
            </a:graphic>
          </wp:inline>
        </w:drawing>
      </w:r>
    </w:p>
    <w:p w14:paraId="3335D040" w14:textId="4126E684" w:rsidR="001506DC" w:rsidRDefault="001506DC" w:rsidP="001506DC">
      <w:pPr>
        <w:pStyle w:val="Caption"/>
        <w:jc w:val="both"/>
      </w:pPr>
      <w:bookmarkStart w:id="424" w:name="_Ref87425783"/>
      <w:bookmarkStart w:id="425" w:name="_Ref87425779"/>
      <w:bookmarkStart w:id="426" w:name="_Toc187234690"/>
      <w:r>
        <w:t xml:space="preserve">Figure </w:t>
      </w:r>
      <w:r w:rsidR="00F262E6">
        <w:fldChar w:fldCharType="begin"/>
      </w:r>
      <w:r w:rsidR="00F262E6">
        <w:instrText xml:space="preserve"> STYLEREF 1 \s </w:instrText>
      </w:r>
      <w:r w:rsidR="00F262E6">
        <w:fldChar w:fldCharType="separate"/>
      </w:r>
      <w:r w:rsidR="00F262E6">
        <w:rPr>
          <w:noProof/>
        </w:rPr>
        <w:t>III</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13</w:t>
      </w:r>
      <w:r w:rsidR="00F262E6">
        <w:fldChar w:fldCharType="end"/>
      </w:r>
      <w:bookmarkEnd w:id="424"/>
      <w:r>
        <w:t xml:space="preserve"> Components of Winter TRM</w:t>
      </w:r>
      <w:bookmarkEnd w:id="425"/>
      <w:bookmarkEnd w:id="426"/>
    </w:p>
    <w:p w14:paraId="5812AEBF" w14:textId="77777777" w:rsidR="0044170B" w:rsidRPr="00421157" w:rsidRDefault="008002CB" w:rsidP="00A76839">
      <w:pPr>
        <w:pStyle w:val="Heading1"/>
        <w:numPr>
          <w:ilvl w:val="0"/>
          <w:numId w:val="13"/>
        </w:numPr>
      </w:pPr>
      <w:bookmarkStart w:id="427" w:name="_Toc440262247"/>
      <w:bookmarkStart w:id="428" w:name="_Toc440447923"/>
      <w:bookmarkStart w:id="429" w:name="_Toc440457973"/>
      <w:bookmarkStart w:id="430" w:name="_Toc513710359"/>
      <w:bookmarkStart w:id="431" w:name="_Ref165023002"/>
      <w:bookmarkStart w:id="432" w:name="_Ref165023011"/>
      <w:bookmarkStart w:id="433" w:name="_Ref165023027"/>
      <w:bookmarkStart w:id="434" w:name="_Ref165023035"/>
      <w:bookmarkStart w:id="435" w:name="_Ref165023065"/>
      <w:bookmarkStart w:id="436" w:name="_Ref165452721"/>
      <w:bookmarkStart w:id="437" w:name="_Ref165452728"/>
      <w:bookmarkStart w:id="438" w:name="_Ref165452765"/>
      <w:bookmarkStart w:id="439" w:name="_Toc187234621"/>
      <w:r w:rsidRPr="00DB641B">
        <w:t>SENSITIVITY</w:t>
      </w:r>
      <w:r w:rsidR="0044170B" w:rsidRPr="00DB641B">
        <w:t xml:space="preserve"> </w:t>
      </w:r>
      <w:r w:rsidR="001158CE" w:rsidRPr="00DB641B">
        <w:t>ANALYSES</w:t>
      </w:r>
      <w:bookmarkEnd w:id="427"/>
      <w:bookmarkEnd w:id="428"/>
      <w:bookmarkEnd w:id="429"/>
      <w:bookmarkEnd w:id="430"/>
      <w:bookmarkEnd w:id="431"/>
      <w:bookmarkEnd w:id="432"/>
      <w:bookmarkEnd w:id="433"/>
      <w:bookmarkEnd w:id="434"/>
      <w:bookmarkEnd w:id="435"/>
      <w:bookmarkEnd w:id="436"/>
      <w:bookmarkEnd w:id="437"/>
      <w:bookmarkEnd w:id="438"/>
      <w:bookmarkEnd w:id="439"/>
    </w:p>
    <w:p w14:paraId="5FC6C507" w14:textId="5BF2E0AC" w:rsidR="0044170B" w:rsidRPr="00372AC4" w:rsidRDefault="0044170B" w:rsidP="00217F0E">
      <w:pPr>
        <w:rPr>
          <w:szCs w:val="24"/>
        </w:rPr>
      </w:pPr>
      <w:r w:rsidRPr="00421157">
        <w:rPr>
          <w:szCs w:val="24"/>
        </w:rPr>
        <w:t xml:space="preserve">The </w:t>
      </w:r>
      <w:r w:rsidRPr="00372AC4">
        <w:rPr>
          <w:szCs w:val="24"/>
        </w:rPr>
        <w:t xml:space="preserve">data for unit performance, weather, </w:t>
      </w:r>
      <w:r w:rsidR="00B41B1D">
        <w:rPr>
          <w:szCs w:val="24"/>
        </w:rPr>
        <w:t>load forecast error</w:t>
      </w:r>
      <w:r w:rsidRPr="00372AC4">
        <w:rPr>
          <w:szCs w:val="24"/>
        </w:rPr>
        <w:t>, hydro availability, market prices</w:t>
      </w:r>
      <w:r w:rsidR="00406718">
        <w:rPr>
          <w:szCs w:val="24"/>
        </w:rPr>
        <w:t>,</w:t>
      </w:r>
      <w:r w:rsidRPr="00372AC4">
        <w:rPr>
          <w:szCs w:val="24"/>
        </w:rPr>
        <w:t xml:space="preserve"> and other inputs is </w:t>
      </w:r>
      <w:r w:rsidR="00493A31">
        <w:rPr>
          <w:szCs w:val="24"/>
        </w:rPr>
        <w:t>based on</w:t>
      </w:r>
      <w:r w:rsidR="00F70423" w:rsidRPr="00372AC4">
        <w:rPr>
          <w:szCs w:val="24"/>
        </w:rPr>
        <w:t xml:space="preserve"> </w:t>
      </w:r>
      <w:r w:rsidRPr="00372AC4">
        <w:rPr>
          <w:szCs w:val="24"/>
        </w:rPr>
        <w:t>historical information</w:t>
      </w:r>
      <w:r w:rsidR="008002CB" w:rsidRPr="00372AC4">
        <w:rPr>
          <w:szCs w:val="24"/>
        </w:rPr>
        <w:t xml:space="preserve">. </w:t>
      </w:r>
      <w:r w:rsidRPr="00372AC4">
        <w:rPr>
          <w:szCs w:val="24"/>
        </w:rPr>
        <w:t>Other data such as market availability is based on forecasted information. While the broad range of scenarios</w:t>
      </w:r>
      <w:r w:rsidR="00AA536F">
        <w:rPr>
          <w:szCs w:val="24"/>
        </w:rPr>
        <w:t xml:space="preserve"> analyzed</w:t>
      </w:r>
      <w:r w:rsidRPr="00372AC4">
        <w:rPr>
          <w:szCs w:val="24"/>
        </w:rPr>
        <w:t xml:space="preserve"> capture</w:t>
      </w:r>
      <w:r w:rsidR="00693A75">
        <w:rPr>
          <w:szCs w:val="24"/>
        </w:rPr>
        <w:t>s</w:t>
      </w:r>
      <w:r w:rsidRPr="00372AC4">
        <w:rPr>
          <w:szCs w:val="24"/>
        </w:rPr>
        <w:t xml:space="preserve"> </w:t>
      </w:r>
      <w:r w:rsidR="00F70423" w:rsidRPr="00372AC4">
        <w:rPr>
          <w:szCs w:val="24"/>
        </w:rPr>
        <w:t>extreme</w:t>
      </w:r>
      <w:r w:rsidRPr="00372AC4">
        <w:rPr>
          <w:szCs w:val="24"/>
        </w:rPr>
        <w:t xml:space="preserve"> events and market prices, there remains risk that conditions could occur in the future that extend beyond the range of what is contemplated in the base case model</w:t>
      </w:r>
      <w:r w:rsidR="008002CB" w:rsidRPr="00372AC4">
        <w:rPr>
          <w:szCs w:val="24"/>
        </w:rPr>
        <w:t xml:space="preserve">. </w:t>
      </w:r>
      <w:r w:rsidR="00586DE3">
        <w:rPr>
          <w:szCs w:val="24"/>
        </w:rPr>
        <w:t xml:space="preserve">Each of the following sensitivities were modeled to examine their impact on </w:t>
      </w:r>
      <w:r w:rsidR="002420FB">
        <w:rPr>
          <w:szCs w:val="24"/>
        </w:rPr>
        <w:t>both the EORM and the</w:t>
      </w:r>
      <w:r w:rsidR="00493A31">
        <w:rPr>
          <w:szCs w:val="24"/>
        </w:rPr>
        <w:t xml:space="preserve"> minimum</w:t>
      </w:r>
      <w:r w:rsidR="002420FB">
        <w:rPr>
          <w:szCs w:val="24"/>
        </w:rPr>
        <w:t xml:space="preserve"> 1:10 LOLE threshold. </w:t>
      </w:r>
    </w:p>
    <w:p w14:paraId="528122BD" w14:textId="77777777" w:rsidR="00D449E7" w:rsidRPr="00372AC4" w:rsidRDefault="00D449E7" w:rsidP="00217F0E">
      <w:pPr>
        <w:rPr>
          <w:szCs w:val="24"/>
        </w:rPr>
      </w:pPr>
    </w:p>
    <w:p w14:paraId="3F1E8381" w14:textId="77777777" w:rsidR="00D21C08" w:rsidRDefault="00D21C08" w:rsidP="00A76839">
      <w:pPr>
        <w:pStyle w:val="Heading2"/>
        <w:numPr>
          <w:ilvl w:val="1"/>
          <w:numId w:val="13"/>
        </w:numPr>
        <w:ind w:left="360"/>
      </w:pPr>
      <w:bookmarkStart w:id="440" w:name="_Toc513710360"/>
      <w:bookmarkStart w:id="441" w:name="_Toc187234622"/>
      <w:bookmarkStart w:id="442" w:name="_Toc440262248"/>
      <w:bookmarkStart w:id="443" w:name="_Toc440447924"/>
      <w:bookmarkStart w:id="444" w:name="_Toc440457974"/>
      <w:r>
        <w:t>Capacity Price</w:t>
      </w:r>
      <w:bookmarkEnd w:id="440"/>
      <w:bookmarkEnd w:id="441"/>
    </w:p>
    <w:p w14:paraId="10A7B359" w14:textId="0F401A7E" w:rsidR="002420FB" w:rsidRDefault="002420FB" w:rsidP="004B49A6">
      <w:r>
        <w:t>Capacity price has a</w:t>
      </w:r>
      <w:r w:rsidR="004334FE">
        <w:t xml:space="preserve">n inverse </w:t>
      </w:r>
      <w:r>
        <w:t xml:space="preserve">impact on the </w:t>
      </w:r>
      <w:r w:rsidR="004334FE">
        <w:t>EORM. The EORM calculation assumes the addition of a reliability resource (</w:t>
      </w:r>
      <w:r w:rsidR="004334FE" w:rsidRPr="00CF31ED">
        <w:rPr>
          <w:i/>
          <w:iCs/>
        </w:rPr>
        <w:t>i.e.</w:t>
      </w:r>
      <w:r w:rsidR="004334FE">
        <w:t xml:space="preserve">, a CT) that has little or no energy value. This ensures a fair comparison of capital cost against </w:t>
      </w:r>
      <w:r w:rsidR="00A369EB">
        <w:t>Production</w:t>
      </w:r>
      <w:r w:rsidR="00AA536F">
        <w:t xml:space="preserve"> Cost</w:t>
      </w:r>
      <w:r w:rsidR="00A369EB">
        <w:t xml:space="preserve"> and Reliability C</w:t>
      </w:r>
      <w:r w:rsidR="004334FE">
        <w:t xml:space="preserve">ost. At lower capacity prices, it is economically justifiable to have a </w:t>
      </w:r>
      <w:r w:rsidR="004334FE" w:rsidRPr="00943E4B">
        <w:t>higher TRM. Conversely, if capacity prices are higher, the EORM will be lower.</w:t>
      </w:r>
      <w:r w:rsidR="00A648A6">
        <w:t xml:space="preserve"> </w:t>
      </w:r>
      <w:r w:rsidR="004334FE" w:rsidRPr="00943E4B">
        <w:t>The capacity price used in the 20</w:t>
      </w:r>
      <w:r w:rsidR="005F2A7C" w:rsidRPr="00943E4B">
        <w:t>2</w:t>
      </w:r>
      <w:r w:rsidR="008D76F9">
        <w:t>4</w:t>
      </w:r>
      <w:r w:rsidR="004334FE" w:rsidRPr="00943E4B">
        <w:t xml:space="preserve"> Reserve Margin Study represents </w:t>
      </w:r>
      <w:r w:rsidR="003E123A" w:rsidRPr="00943E4B">
        <w:t>the economic carry</w:t>
      </w:r>
      <w:r w:rsidR="00BF42E2" w:rsidRPr="00943E4B">
        <w:t>ing</w:t>
      </w:r>
      <w:r w:rsidR="003E123A" w:rsidRPr="00943E4B">
        <w:t xml:space="preserve"> cost of a CT</w:t>
      </w:r>
      <w:r w:rsidR="004334FE" w:rsidRPr="00943E4B">
        <w:t xml:space="preserve">. </w:t>
      </w:r>
      <w:r w:rsidR="00BF42E2" w:rsidRPr="00943E4B">
        <w:t xml:space="preserve">The capacity price </w:t>
      </w:r>
      <w:r w:rsidR="004334FE" w:rsidRPr="00943E4B">
        <w:t xml:space="preserve">sensitivity examined a range of capacity costs from values </w:t>
      </w:r>
      <w:r w:rsidR="005F2A7C" w:rsidRPr="00943E4B">
        <w:t>significantly above and below</w:t>
      </w:r>
      <w:r w:rsidR="004334FE" w:rsidRPr="00943E4B">
        <w:t xml:space="preserve"> the </w:t>
      </w:r>
      <w:r w:rsidR="00BF42E2" w:rsidRPr="00943E4B">
        <w:t xml:space="preserve">economic carrying cost </w:t>
      </w:r>
      <w:r w:rsidR="003E123A" w:rsidRPr="00943E4B">
        <w:t>of a dual fuel CT</w:t>
      </w:r>
      <w:r w:rsidR="004334FE" w:rsidRPr="00943E4B">
        <w:t xml:space="preserve">. </w:t>
      </w:r>
      <w:r w:rsidR="00407B70" w:rsidRPr="00943E4B">
        <w:fldChar w:fldCharType="begin"/>
      </w:r>
      <w:r w:rsidR="00407B70" w:rsidRPr="00943E4B">
        <w:instrText xml:space="preserve"> REF _Ref513787125 \h </w:instrText>
      </w:r>
      <w:r w:rsidR="00943E4B">
        <w:instrText xml:space="preserve"> \* MERGEFORMAT </w:instrText>
      </w:r>
      <w:r w:rsidR="00407B70" w:rsidRPr="00943E4B">
        <w:fldChar w:fldCharType="separate"/>
      </w:r>
      <w:r w:rsidR="00161C58" w:rsidRPr="00943E4B">
        <w:t xml:space="preserve">Figure </w:t>
      </w:r>
      <w:r w:rsidR="00161C58">
        <w:rPr>
          <w:noProof/>
        </w:rPr>
        <w:t>IV</w:t>
      </w:r>
      <w:r w:rsidR="00161C58" w:rsidRPr="00943E4B">
        <w:t>.</w:t>
      </w:r>
      <w:r w:rsidR="00161C58">
        <w:rPr>
          <w:noProof/>
        </w:rPr>
        <w:t>1</w:t>
      </w:r>
      <w:r w:rsidR="00407B70" w:rsidRPr="00943E4B">
        <w:fldChar w:fldCharType="end"/>
      </w:r>
      <w:r w:rsidR="004334FE" w:rsidRPr="00943E4B">
        <w:t xml:space="preserve"> </w:t>
      </w:r>
      <w:r w:rsidR="00493A31" w:rsidRPr="00943E4B">
        <w:t xml:space="preserve">below </w:t>
      </w:r>
      <w:r w:rsidR="004334FE" w:rsidRPr="00943E4B">
        <w:t xml:space="preserve">shows how capacity costs across these ranges affect the </w:t>
      </w:r>
      <w:r w:rsidR="001E0D86" w:rsidRPr="00943E4B">
        <w:t xml:space="preserve">Winter </w:t>
      </w:r>
      <w:r w:rsidR="004334FE" w:rsidRPr="00943E4B">
        <w:t xml:space="preserve">EORM. </w:t>
      </w:r>
      <w:r w:rsidR="00664F90" w:rsidRPr="00943E4B">
        <w:t xml:space="preserve">For example, at </w:t>
      </w:r>
      <w:r w:rsidR="00781FA3" w:rsidRPr="00476671">
        <w:rPr>
          <w:b/>
          <w:bCs/>
          <w:sz w:val="16"/>
          <w:szCs w:val="16"/>
        </w:rPr>
        <w:t>REDACTED</w:t>
      </w:r>
      <w:r w:rsidR="00476671" w:rsidRPr="00476671">
        <w:rPr>
          <w:sz w:val="16"/>
          <w:szCs w:val="16"/>
        </w:rPr>
        <w:t xml:space="preserve"> </w:t>
      </w:r>
      <w:r w:rsidR="00476671" w:rsidRPr="00476671">
        <w:rPr>
          <w:b/>
          <w:bCs/>
          <w:sz w:val="16"/>
          <w:szCs w:val="16"/>
        </w:rPr>
        <w:t>REDACTED</w:t>
      </w:r>
      <w:r w:rsidR="00664F90" w:rsidRPr="00943E4B">
        <w:t xml:space="preserve">, </w:t>
      </w:r>
      <w:r w:rsidR="00664F90">
        <w:t>the Winter EORM moved from 2</w:t>
      </w:r>
      <w:r w:rsidR="008D76F9">
        <w:t>2.75</w:t>
      </w:r>
      <w:r w:rsidR="00664F90">
        <w:t xml:space="preserve">% to </w:t>
      </w:r>
      <w:r w:rsidR="005F2A7C">
        <w:t>almost</w:t>
      </w:r>
      <w:r w:rsidR="00664F90">
        <w:t xml:space="preserve"> 2</w:t>
      </w:r>
      <w:r w:rsidR="001941DF">
        <w:t>5</w:t>
      </w:r>
      <w:r w:rsidR="00664F90">
        <w:t>%.</w:t>
      </w:r>
      <w:r w:rsidR="00393CCA">
        <w:t xml:space="preserve"> </w:t>
      </w:r>
      <w:r w:rsidR="004334FE" w:rsidRPr="00943E4B">
        <w:t>Capacity price does not impact the 1:10</w:t>
      </w:r>
      <w:r w:rsidR="004334FE">
        <w:t xml:space="preserve"> LOLE threshold.</w:t>
      </w:r>
    </w:p>
    <w:p w14:paraId="773BF66F" w14:textId="0FD81C9D" w:rsidR="002D6EAA" w:rsidRPr="00943E4B" w:rsidRDefault="00BB56FD" w:rsidP="002D6EAA">
      <w:pPr>
        <w:keepNext/>
      </w:pPr>
      <w:r>
        <w:rPr>
          <w:noProof/>
        </w:rPr>
        <mc:AlternateContent>
          <mc:Choice Requires="wps">
            <w:drawing>
              <wp:inline distT="0" distB="0" distL="0" distR="0" wp14:anchorId="70CE757E" wp14:editId="45B3D371">
                <wp:extent cx="5971032" cy="4334256"/>
                <wp:effectExtent l="0" t="0" r="10795" b="28575"/>
                <wp:docPr id="49" name="Rectangle 49"/>
                <wp:cNvGraphicFramePr/>
                <a:graphic xmlns:a="http://schemas.openxmlformats.org/drawingml/2006/main">
                  <a:graphicData uri="http://schemas.microsoft.com/office/word/2010/wordprocessingShape">
                    <wps:wsp>
                      <wps:cNvSpPr/>
                      <wps:spPr>
                        <a:xfrm>
                          <a:off x="0" y="0"/>
                          <a:ext cx="5971032" cy="4334256"/>
                        </a:xfrm>
                        <a:prstGeom prst="rect">
                          <a:avLst/>
                        </a:prstGeom>
                        <a:ln/>
                      </wps:spPr>
                      <wps:style>
                        <a:lnRef idx="2">
                          <a:schemeClr val="dk1"/>
                        </a:lnRef>
                        <a:fillRef idx="1">
                          <a:schemeClr val="lt1"/>
                        </a:fillRef>
                        <a:effectRef idx="0">
                          <a:schemeClr val="dk1"/>
                        </a:effectRef>
                        <a:fontRef idx="minor">
                          <a:schemeClr val="dk1"/>
                        </a:fontRef>
                      </wps:style>
                      <wps:txbx>
                        <w:txbxContent>
                          <w:p w14:paraId="43556AD2" w14:textId="0F727991" w:rsidR="00BB56FD" w:rsidRDefault="00BB56FD" w:rsidP="00210AD0">
                            <w:pPr>
                              <w:jc w:val="center"/>
                            </w:pPr>
                            <w:r w:rsidRPr="00210AD0">
                              <w:rPr>
                                <w:b/>
                              </w:rPr>
                              <w:t>REDACTED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0CE757E" id="Rectangle 49" o:spid="_x0000_s1031" style="width:470.15pt;height:341.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" fillcolor="white [3201]" strokecolor="black [3200]" strokeweight="2pt">
                <v:textbox>
                  <w:txbxContent>
                    <w:p w14:paraId="43556AD2" w14:textId="0F727991" w:rsidR="00BB56FD" w:rsidRDefault="00BB56FD" w:rsidP="00210AD0">
                      <w:pPr>
                        <w:jc w:val="center"/>
                      </w:pPr>
                      <w:r w:rsidRPr="00210AD0">
                        <w:rPr>
                          <w:b/>
                        </w:rPr>
                        <w:t>REDACTED</w:t>
                      </w:r>
                    </w:p>
                  </w:txbxContent>
                </v:textbox>
                <w10:anchorlock/>
              </v:rect>
            </w:pict>
          </mc:Fallback>
        </mc:AlternateContent>
      </w:r>
    </w:p>
    <w:p w14:paraId="526A053F" w14:textId="25A1F3E9" w:rsidR="004334FE" w:rsidRPr="00943E4B" w:rsidRDefault="002D6EAA" w:rsidP="002D6EAA">
      <w:pPr>
        <w:pStyle w:val="Caption"/>
        <w:jc w:val="both"/>
      </w:pPr>
      <w:bookmarkStart w:id="445" w:name="_Ref513787125"/>
      <w:bookmarkStart w:id="446" w:name="_Toc513710603"/>
      <w:bookmarkStart w:id="447" w:name="_Toc187234691"/>
      <w:r w:rsidRPr="00943E4B">
        <w:t xml:space="preserve">Figure </w:t>
      </w:r>
      <w:r w:rsidR="00F262E6">
        <w:fldChar w:fldCharType="begin"/>
      </w:r>
      <w:r w:rsidR="00F262E6">
        <w:instrText xml:space="preserve"> STYLEREF 1 \s </w:instrText>
      </w:r>
      <w:r w:rsidR="00F262E6">
        <w:fldChar w:fldCharType="separate"/>
      </w:r>
      <w:r w:rsidR="00F262E6">
        <w:rPr>
          <w:noProof/>
        </w:rPr>
        <w:t>IV</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w:t>
      </w:r>
      <w:r w:rsidR="00F262E6">
        <w:fldChar w:fldCharType="end"/>
      </w:r>
      <w:bookmarkEnd w:id="445"/>
      <w:r w:rsidRPr="00943E4B">
        <w:t>. EORM as a Function of Capacity Price</w:t>
      </w:r>
      <w:bookmarkEnd w:id="446"/>
      <w:bookmarkEnd w:id="447"/>
    </w:p>
    <w:p w14:paraId="6CB5B680" w14:textId="56DF5D27" w:rsidR="21F6B429" w:rsidRDefault="21F6B429" w:rsidP="21F6B429"/>
    <w:p w14:paraId="788570B8" w14:textId="16D89DE8" w:rsidR="00E60F40" w:rsidRPr="00943E4B" w:rsidRDefault="00E60F40" w:rsidP="00A76839">
      <w:pPr>
        <w:pStyle w:val="Heading2"/>
        <w:numPr>
          <w:ilvl w:val="1"/>
          <w:numId w:val="13"/>
        </w:numPr>
        <w:ind w:left="360"/>
      </w:pPr>
      <w:bookmarkStart w:id="448" w:name="_Toc513710361"/>
      <w:bookmarkStart w:id="449" w:name="_Toc187234623"/>
      <w:r w:rsidRPr="00943E4B">
        <w:t>Cost of EUE</w:t>
      </w:r>
      <w:bookmarkEnd w:id="448"/>
      <w:bookmarkEnd w:id="449"/>
    </w:p>
    <w:p w14:paraId="324246CB" w14:textId="1498BE28" w:rsidR="00E60F40" w:rsidRDefault="2869B242" w:rsidP="00E60F40">
      <w:r>
        <w:t xml:space="preserve">Two cost-of-EUE sensitives were evaluated. </w:t>
      </w:r>
      <w:r w:rsidR="00E60F40">
        <w:t xml:space="preserve">The first </w:t>
      </w:r>
      <w:r w:rsidR="00493A31">
        <w:t xml:space="preserve">cost of EUE sensitivity </w:t>
      </w:r>
      <w:r w:rsidR="6588B445">
        <w:t>(B)</w:t>
      </w:r>
      <w:r w:rsidR="00493A31">
        <w:t xml:space="preserve"> </w:t>
      </w:r>
      <w:r w:rsidR="00E60F40">
        <w:t>was a minimum value assuming only impacts from residential class customers. This resulted in a cost of EUE of approximately $</w:t>
      </w:r>
      <w:r w:rsidR="00462884">
        <w:t>2</w:t>
      </w:r>
      <w:r w:rsidR="00E60F40">
        <w:t>,</w:t>
      </w:r>
      <w:r w:rsidR="005C6FA1">
        <w:t>651</w:t>
      </w:r>
      <w:r w:rsidR="00E60F40">
        <w:t>/MWh of outage</w:t>
      </w:r>
      <w:r w:rsidR="00365003">
        <w:t xml:space="preserve"> (in 202</w:t>
      </w:r>
      <w:r w:rsidR="005C6FA1">
        <w:t>8</w:t>
      </w:r>
      <w:r w:rsidR="00365003">
        <w:t>$)</w:t>
      </w:r>
      <w:r w:rsidR="00E60F40">
        <w:t xml:space="preserve">. The </w:t>
      </w:r>
      <w:r w:rsidR="001E0D86">
        <w:t>Winter EORM</w:t>
      </w:r>
      <w:r w:rsidR="00E60F40">
        <w:t xml:space="preserve"> for this sensitivity moved from 2</w:t>
      </w:r>
      <w:r w:rsidR="005C6FA1">
        <w:t>2</w:t>
      </w:r>
      <w:r w:rsidR="00462884">
        <w:t>.</w:t>
      </w:r>
      <w:r w:rsidR="005C6FA1">
        <w:t>7</w:t>
      </w:r>
      <w:r w:rsidR="00462884">
        <w:t>5</w:t>
      </w:r>
      <w:r w:rsidR="00E60F40">
        <w:t xml:space="preserve">% to </w:t>
      </w:r>
      <w:r w:rsidR="00462884">
        <w:t>2</w:t>
      </w:r>
      <w:r w:rsidR="005C6FA1">
        <w:t>1</w:t>
      </w:r>
      <w:r w:rsidR="00462884">
        <w:t>.75</w:t>
      </w:r>
      <w:r w:rsidR="00E60F40">
        <w:t>%</w:t>
      </w:r>
      <w:r w:rsidR="00365003">
        <w:t>.</w:t>
      </w:r>
      <w:r w:rsidR="00A648A6">
        <w:t xml:space="preserve"> </w:t>
      </w:r>
      <w:r w:rsidR="00B80EBA">
        <w:t>There was no change in the 1:10 LOLE threshold.</w:t>
      </w:r>
    </w:p>
    <w:p w14:paraId="33A2AEA4" w14:textId="77777777" w:rsidR="00E60F40" w:rsidRPr="00124600" w:rsidRDefault="00E60F40" w:rsidP="00E60F40"/>
    <w:p w14:paraId="7BEBFEDC" w14:textId="0CB4C51D" w:rsidR="00365003" w:rsidRDefault="00365003" w:rsidP="00365003">
      <w:r>
        <w:t xml:space="preserve">The second cost of EUE sensitivity </w:t>
      </w:r>
      <w:r w:rsidR="4D6B038B">
        <w:t>(B’)</w:t>
      </w:r>
      <w:r>
        <w:t xml:space="preserve"> was developed based on publicly available cost of EUE data. Using the Interruption Cost Estimate Calculator </w:t>
      </w:r>
      <w:r w:rsidR="00493A31">
        <w:t>(</w:t>
      </w:r>
      <w:r>
        <w:t>developed by Nexant</w:t>
      </w:r>
      <w:r w:rsidR="00493A31">
        <w:t xml:space="preserve">, </w:t>
      </w:r>
      <w:r>
        <w:t>funded by</w:t>
      </w:r>
      <w:r w:rsidR="005C6FA1">
        <w:t xml:space="preserve"> the</w:t>
      </w:r>
      <w:r>
        <w:t xml:space="preserve"> Lawrence Berkeley National Laboratory and the Department of Energy</w:t>
      </w:r>
      <w:r w:rsidR="00493A31">
        <w:t>,</w:t>
      </w:r>
      <w:r>
        <w:t xml:space="preserve"> and publicly available at </w:t>
      </w:r>
      <w:hyperlink r:id="rId42">
        <w:r w:rsidRPr="21F6B429">
          <w:rPr>
            <w:rStyle w:val="Hyperlink"/>
          </w:rPr>
          <w:t>http://icecalculator.com</w:t>
        </w:r>
      </w:hyperlink>
      <w:r w:rsidR="00493A31" w:rsidRPr="21F6B429">
        <w:rPr>
          <w:rStyle w:val="Hyperlink"/>
        </w:rPr>
        <w:t>)</w:t>
      </w:r>
      <w:r>
        <w:t>, a cost of EUE for the System was estimated to be approximately $</w:t>
      </w:r>
      <w:r w:rsidR="00F14AEE">
        <w:t>4</w:t>
      </w:r>
      <w:r w:rsidR="005C6FA1">
        <w:t>1</w:t>
      </w:r>
      <w:r>
        <w:t>,</w:t>
      </w:r>
      <w:r w:rsidR="005C6FA1">
        <w:t>937</w:t>
      </w:r>
      <w:r>
        <w:t>/MWh (202</w:t>
      </w:r>
      <w:r w:rsidR="005C6FA1">
        <w:t>8</w:t>
      </w:r>
      <w:r>
        <w:t xml:space="preserve">$). The </w:t>
      </w:r>
      <w:r w:rsidR="001E0D86">
        <w:t>Winter EORM</w:t>
      </w:r>
      <w:r>
        <w:t xml:space="preserve"> for this sensitivity </w:t>
      </w:r>
      <w:r w:rsidR="005C6FA1">
        <w:t>did not change from</w:t>
      </w:r>
      <w:r>
        <w:t xml:space="preserve"> 2</w:t>
      </w:r>
      <w:r w:rsidR="005C6FA1">
        <w:t>2.75</w:t>
      </w:r>
      <w:r>
        <w:t xml:space="preserve">%. </w:t>
      </w:r>
      <w:r w:rsidR="00B80EBA">
        <w:t>There was</w:t>
      </w:r>
      <w:r w:rsidR="005C6FA1">
        <w:t xml:space="preserve"> also</w:t>
      </w:r>
      <w:r w:rsidR="00B80EBA">
        <w:t xml:space="preserve"> no change in the 1:10 LOLE threshold.</w:t>
      </w:r>
    </w:p>
    <w:p w14:paraId="279D4027" w14:textId="77777777" w:rsidR="00365003" w:rsidRDefault="00365003" w:rsidP="00365003">
      <w:pPr>
        <w:rPr>
          <w:szCs w:val="24"/>
        </w:rPr>
      </w:pPr>
    </w:p>
    <w:p w14:paraId="56B2D6E2" w14:textId="290BB540" w:rsidR="00B36D4F" w:rsidRPr="00421157" w:rsidRDefault="00B36D4F" w:rsidP="00A76839">
      <w:pPr>
        <w:pStyle w:val="Heading2"/>
        <w:numPr>
          <w:ilvl w:val="1"/>
          <w:numId w:val="13"/>
        </w:numPr>
        <w:ind w:left="360"/>
      </w:pPr>
      <w:bookmarkStart w:id="450" w:name="_Toc513710363"/>
      <w:bookmarkStart w:id="451" w:name="_Toc187234624"/>
      <w:r>
        <w:t>Cold Weather Outage</w:t>
      </w:r>
      <w:r w:rsidR="00C11064">
        <w:t>s</w:t>
      </w:r>
      <w:bookmarkEnd w:id="450"/>
      <w:bookmarkEnd w:id="451"/>
    </w:p>
    <w:p w14:paraId="4FC4F892" w14:textId="64C13C04" w:rsidR="005C6FA1" w:rsidRDefault="012B5F02">
      <w:r>
        <w:t>Historical events have shown that cold weather outages have a notable impact on system reliability. To gain a better understanding of how impactful these incremental outages are to the EORM and 1:10 LOLE threshold, three sensitivities were performed.</w:t>
      </w:r>
    </w:p>
    <w:p w14:paraId="69776718" w14:textId="64510332" w:rsidR="21F6B429" w:rsidRDefault="21F6B429"/>
    <w:p w14:paraId="6C66802E" w14:textId="6A4568C2" w:rsidR="012B5F02" w:rsidRPr="003A51B7" w:rsidRDefault="012B5F02">
      <w:pPr>
        <w:rPr>
          <w:i/>
          <w:iCs/>
        </w:rPr>
      </w:pPr>
      <w:r w:rsidRPr="003A51B7">
        <w:rPr>
          <w:i/>
          <w:iCs/>
        </w:rPr>
        <w:t>No Cold Weather Outages</w:t>
      </w:r>
      <w:r w:rsidR="22E68F20" w:rsidRPr="003A51B7">
        <w:rPr>
          <w:i/>
          <w:iCs/>
        </w:rPr>
        <w:t xml:space="preserve"> (C)</w:t>
      </w:r>
    </w:p>
    <w:p w14:paraId="27CCCEAB" w14:textId="266D6A2C" w:rsidR="00C11064" w:rsidRDefault="00B36D4F" w:rsidP="00C11064">
      <w:r>
        <w:t xml:space="preserve">As indicated in </w:t>
      </w:r>
      <w:r w:rsidR="00BF42E2">
        <w:t xml:space="preserve">Section I, </w:t>
      </w:r>
      <w:r>
        <w:t xml:space="preserve">the cold weather outage assumptions incorporated </w:t>
      </w:r>
      <w:r w:rsidR="00C11064">
        <w:t xml:space="preserve">additional, temperature-related unit outages below </w:t>
      </w:r>
      <w:r w:rsidR="00304AD5">
        <w:t>10</w:t>
      </w:r>
      <w:r w:rsidR="00304AD5" w:rsidRPr="21F6B429">
        <w:rPr>
          <w:rFonts w:cs="Arial"/>
        </w:rPr>
        <w:t>°</w:t>
      </w:r>
      <w:r w:rsidR="00304AD5">
        <w:t>F for retail, owned or operated resources and approximately 18°F for contracted resources</w:t>
      </w:r>
      <w:r w:rsidR="00C11064">
        <w:t xml:space="preserve">. </w:t>
      </w:r>
      <w:r>
        <w:t xml:space="preserve">This sensitivity assumes </w:t>
      </w:r>
      <w:r w:rsidR="00C11064">
        <w:t xml:space="preserve">that there are no </w:t>
      </w:r>
      <w:r w:rsidR="00304AD5">
        <w:t>incremental</w:t>
      </w:r>
      <w:r w:rsidR="00C11064">
        <w:t xml:space="preserve"> outages </w:t>
      </w:r>
      <w:r w:rsidR="00304AD5">
        <w:t>due to</w:t>
      </w:r>
      <w:r w:rsidR="00C11064">
        <w:t xml:space="preserve"> low temperatures. The Winter EORM for this sensitivity moved from </w:t>
      </w:r>
      <w:r w:rsidR="005C6FA1">
        <w:t>22.75</w:t>
      </w:r>
      <w:r w:rsidR="00C11064">
        <w:t>% to 2</w:t>
      </w:r>
      <w:r w:rsidR="005C6FA1">
        <w:t>2.25</w:t>
      </w:r>
      <w:r w:rsidR="00C11064">
        <w:t>%. The 1:10 LOLE threshold moved from 2</w:t>
      </w:r>
      <w:r w:rsidR="005C6FA1">
        <w:t>5.75</w:t>
      </w:r>
      <w:r w:rsidR="00C11064">
        <w:t xml:space="preserve">% to </w:t>
      </w:r>
      <w:r w:rsidR="005C6FA1">
        <w:t>22.50</w:t>
      </w:r>
      <w:r w:rsidR="00C11064">
        <w:t xml:space="preserve">%. </w:t>
      </w:r>
    </w:p>
    <w:p w14:paraId="0AB78E05" w14:textId="77777777" w:rsidR="00304AD5" w:rsidRDefault="00304AD5" w:rsidP="00C11064">
      <w:pPr>
        <w:rPr>
          <w:szCs w:val="24"/>
        </w:rPr>
      </w:pPr>
    </w:p>
    <w:p w14:paraId="4E23D25E" w14:textId="5CF5D840" w:rsidR="00304AD5" w:rsidRPr="003A51B7" w:rsidRDefault="00084970" w:rsidP="003A51B7">
      <w:pPr>
        <w:rPr>
          <w:b/>
          <w:i/>
          <w:iCs/>
        </w:rPr>
      </w:pPr>
      <w:r w:rsidRPr="003A51B7">
        <w:rPr>
          <w:i/>
          <w:iCs/>
        </w:rPr>
        <w:t>Historical Cold Weather Outages</w:t>
      </w:r>
      <w:r w:rsidR="74329C09" w:rsidRPr="003A51B7">
        <w:rPr>
          <w:i/>
          <w:iCs/>
        </w:rPr>
        <w:t xml:space="preserve"> (C’)</w:t>
      </w:r>
    </w:p>
    <w:p w14:paraId="09DF55F7" w14:textId="5FB45635" w:rsidR="00084970" w:rsidRPr="00084970" w:rsidRDefault="00084970" w:rsidP="003A51B7">
      <w:r>
        <w:t>Over the past decade, winterization improvements have been made to the retail generation fleet. These investments are expected to support reliable</w:t>
      </w:r>
      <w:r w:rsidR="009554B3">
        <w:t xml:space="preserve"> unit</w:t>
      </w:r>
      <w:r>
        <w:t xml:space="preserve"> operation during extreme cold weather. </w:t>
      </w:r>
      <w:r w:rsidR="009554B3">
        <w:t>I</w:t>
      </w:r>
      <w:r>
        <w:t>t is</w:t>
      </w:r>
      <w:r w:rsidR="009554B3">
        <w:t>, therefore,</w:t>
      </w:r>
      <w:r>
        <w:t xml:space="preserve"> </w:t>
      </w:r>
      <w:r w:rsidR="009554B3">
        <w:t xml:space="preserve">important to understand the impact to the EORM and 1:10 LOLE threshold if these improvements were not made. If the historical incremental cold weather outage curve </w:t>
      </w:r>
      <w:r w:rsidR="4A2B152D">
        <w:t>was</w:t>
      </w:r>
      <w:r w:rsidR="009554B3">
        <w:t xml:space="preserve"> applied instead of the improved incremental </w:t>
      </w:r>
      <w:r w:rsidR="1D3CB8A5">
        <w:t xml:space="preserve">curve, </w:t>
      </w:r>
      <w:r w:rsidR="009554B3">
        <w:t>as was used in the winter base case, EORM would rise from 22.75% to 23.50% and the 1:10 LOLE threshold would rise from 25.75% to 30.25%.</w:t>
      </w:r>
    </w:p>
    <w:p w14:paraId="2EEC4E07" w14:textId="77777777" w:rsidR="00B36D4F" w:rsidRDefault="00B36D4F" w:rsidP="00B36D4F">
      <w:pPr>
        <w:rPr>
          <w:szCs w:val="24"/>
        </w:rPr>
      </w:pPr>
    </w:p>
    <w:p w14:paraId="04DFA85B" w14:textId="44F5F698" w:rsidR="009554B3" w:rsidRPr="003A51B7" w:rsidRDefault="009554B3" w:rsidP="003A51B7">
      <w:pPr>
        <w:rPr>
          <w:b/>
          <w:i/>
          <w:iCs/>
        </w:rPr>
      </w:pPr>
      <w:bookmarkStart w:id="452" w:name="_Ref175143882"/>
      <w:bookmarkStart w:id="453" w:name="_Ref175143890"/>
      <w:r w:rsidRPr="003A51B7">
        <w:rPr>
          <w:i/>
          <w:iCs/>
        </w:rPr>
        <w:t>Exponential Cold Weather Outage Curve</w:t>
      </w:r>
      <w:bookmarkEnd w:id="452"/>
      <w:bookmarkEnd w:id="453"/>
      <w:r w:rsidR="162A4C79" w:rsidRPr="003A51B7">
        <w:rPr>
          <w:i/>
          <w:iCs/>
        </w:rPr>
        <w:t xml:space="preserve"> (C’’)</w:t>
      </w:r>
    </w:p>
    <w:p w14:paraId="5DD27EC3" w14:textId="7ABD9858" w:rsidR="009554B3" w:rsidRPr="009554B3" w:rsidRDefault="009554B3" w:rsidP="009554B3">
      <w:r>
        <w:t>In the past several Reserve Margin Studies, an exponential cold weather outage curve was applied. To be consistent with the new linear cold weather outage curves applied to neighboring regions, the Southern System cold weather outage curve was transitioned to a linear</w:t>
      </w:r>
      <w:r w:rsidR="536BD7B1">
        <w:t>-based</w:t>
      </w:r>
      <w:r>
        <w:t xml:space="preserve"> curve as well</w:t>
      </w:r>
      <w:r w:rsidR="00660B97">
        <w:t xml:space="preserve"> for the winter base case of this study. This sensitivity considers the impact of that change. The use of an exponential</w:t>
      </w:r>
      <w:r w:rsidR="7C3C3E23">
        <w:t>-based</w:t>
      </w:r>
      <w:r w:rsidR="00660B97">
        <w:t xml:space="preserve"> incremental, improved cold weather outage curve resulted in the EORM dropping from 22.75% to 22.50% and the 1:10 LOLE threshold dropping from 25.75% to 25.25%.</w:t>
      </w:r>
    </w:p>
    <w:p w14:paraId="24C95A16" w14:textId="77777777" w:rsidR="009554B3" w:rsidRDefault="009554B3" w:rsidP="00B36D4F">
      <w:pPr>
        <w:rPr>
          <w:szCs w:val="24"/>
        </w:rPr>
      </w:pPr>
    </w:p>
    <w:p w14:paraId="4FA09287" w14:textId="77777777" w:rsidR="004731CD" w:rsidRPr="004A4FD8" w:rsidRDefault="004731CD" w:rsidP="00A76839">
      <w:pPr>
        <w:pStyle w:val="Heading2"/>
        <w:numPr>
          <w:ilvl w:val="1"/>
          <w:numId w:val="13"/>
        </w:numPr>
        <w:ind w:left="360"/>
      </w:pPr>
      <w:bookmarkStart w:id="454" w:name="_Toc513710365"/>
      <w:bookmarkStart w:id="455" w:name="_Toc187234625"/>
      <w:r w:rsidRPr="004A4FD8">
        <w:t>50% Reduced Transmission</w:t>
      </w:r>
      <w:bookmarkEnd w:id="454"/>
      <w:bookmarkEnd w:id="455"/>
    </w:p>
    <w:p w14:paraId="5E221F68" w14:textId="68F2BC58" w:rsidR="004731CD" w:rsidRPr="00356A42" w:rsidRDefault="00800484" w:rsidP="004731CD">
      <w:pPr>
        <w:rPr>
          <w:color w:val="000000" w:themeColor="text1"/>
          <w:szCs w:val="24"/>
        </w:rPr>
      </w:pPr>
      <w:r w:rsidRPr="00356A42">
        <w:rPr>
          <w:color w:val="000000" w:themeColor="text1"/>
          <w:szCs w:val="24"/>
        </w:rPr>
        <w:t>For this sensitivity, t</w:t>
      </w:r>
      <w:r w:rsidR="004731CD" w:rsidRPr="00356A42">
        <w:rPr>
          <w:color w:val="000000" w:themeColor="text1"/>
          <w:szCs w:val="24"/>
        </w:rPr>
        <w:t xml:space="preserve">ransmission capabilities with neighboring </w:t>
      </w:r>
      <w:r w:rsidR="00750E6B" w:rsidRPr="00356A42">
        <w:rPr>
          <w:color w:val="000000" w:themeColor="text1"/>
          <w:szCs w:val="24"/>
        </w:rPr>
        <w:t xml:space="preserve">regions </w:t>
      </w:r>
      <w:r w:rsidR="004731CD" w:rsidRPr="00356A42">
        <w:rPr>
          <w:color w:val="000000" w:themeColor="text1"/>
          <w:szCs w:val="24"/>
        </w:rPr>
        <w:t>were reduced by 50%.</w:t>
      </w:r>
      <w:r w:rsidR="00A648A6">
        <w:rPr>
          <w:color w:val="000000" w:themeColor="text1"/>
          <w:szCs w:val="24"/>
        </w:rPr>
        <w:t xml:space="preserve"> </w:t>
      </w:r>
      <w:r w:rsidR="00356A42" w:rsidRPr="00356A42">
        <w:rPr>
          <w:color w:val="000000" w:themeColor="text1"/>
          <w:szCs w:val="24"/>
        </w:rPr>
        <w:t xml:space="preserve">The </w:t>
      </w:r>
      <w:r w:rsidR="00493A31">
        <w:rPr>
          <w:color w:val="000000" w:themeColor="text1"/>
          <w:szCs w:val="24"/>
        </w:rPr>
        <w:t>W</w:t>
      </w:r>
      <w:r w:rsidR="00356A42" w:rsidRPr="00356A42">
        <w:rPr>
          <w:color w:val="000000" w:themeColor="text1"/>
          <w:szCs w:val="24"/>
        </w:rPr>
        <w:t xml:space="preserve">inter EORM </w:t>
      </w:r>
      <w:r w:rsidR="00993632">
        <w:rPr>
          <w:color w:val="000000" w:themeColor="text1"/>
          <w:szCs w:val="24"/>
        </w:rPr>
        <w:t xml:space="preserve">and the 1:10 LOLE threshold </w:t>
      </w:r>
      <w:r w:rsidR="00356A42" w:rsidRPr="00356A42">
        <w:rPr>
          <w:color w:val="000000" w:themeColor="text1"/>
          <w:szCs w:val="24"/>
        </w:rPr>
        <w:t>did not change from the base case.</w:t>
      </w:r>
    </w:p>
    <w:p w14:paraId="5E1BB4DE" w14:textId="77777777" w:rsidR="004731CD" w:rsidRPr="00372AC4" w:rsidRDefault="004731CD" w:rsidP="004731CD">
      <w:pPr>
        <w:rPr>
          <w:szCs w:val="24"/>
        </w:rPr>
      </w:pPr>
    </w:p>
    <w:p w14:paraId="67F68B8D" w14:textId="611DAA4F" w:rsidR="004731CD" w:rsidRPr="004A4FD8" w:rsidRDefault="00993632" w:rsidP="00A76839">
      <w:pPr>
        <w:pStyle w:val="Heading2"/>
        <w:numPr>
          <w:ilvl w:val="1"/>
          <w:numId w:val="13"/>
        </w:numPr>
        <w:ind w:left="360"/>
      </w:pPr>
      <w:bookmarkStart w:id="456" w:name="_Toc513710366"/>
      <w:bookmarkStart w:id="457" w:name="_Toc187234626"/>
      <w:r>
        <w:t>Unlimited</w:t>
      </w:r>
      <w:r w:rsidR="004731CD" w:rsidRPr="004A4FD8">
        <w:t xml:space="preserve"> Transmission</w:t>
      </w:r>
      <w:bookmarkEnd w:id="456"/>
      <w:bookmarkEnd w:id="457"/>
    </w:p>
    <w:p w14:paraId="7854976E" w14:textId="55090FB1" w:rsidR="007B0CB0" w:rsidRPr="0034611F" w:rsidRDefault="00800484">
      <w:pPr>
        <w:rPr>
          <w:color w:val="000000" w:themeColor="text1"/>
          <w:szCs w:val="24"/>
        </w:rPr>
      </w:pPr>
      <w:r w:rsidRPr="0034611F">
        <w:rPr>
          <w:color w:val="000000" w:themeColor="text1"/>
          <w:szCs w:val="24"/>
        </w:rPr>
        <w:t>For this sensitivity, transmission capab</w:t>
      </w:r>
      <w:r w:rsidR="00493A31">
        <w:rPr>
          <w:color w:val="000000" w:themeColor="text1"/>
          <w:szCs w:val="24"/>
        </w:rPr>
        <w:t>ility</w:t>
      </w:r>
      <w:r w:rsidRPr="0034611F">
        <w:rPr>
          <w:color w:val="000000" w:themeColor="text1"/>
          <w:szCs w:val="24"/>
        </w:rPr>
        <w:t xml:space="preserve"> with neighboring </w:t>
      </w:r>
      <w:r w:rsidR="00750E6B" w:rsidRPr="0034611F">
        <w:rPr>
          <w:color w:val="000000" w:themeColor="text1"/>
          <w:szCs w:val="24"/>
        </w:rPr>
        <w:t>regions</w:t>
      </w:r>
      <w:r w:rsidR="0034611F" w:rsidRPr="0034611F">
        <w:rPr>
          <w:color w:val="000000" w:themeColor="text1"/>
          <w:szCs w:val="24"/>
        </w:rPr>
        <w:t xml:space="preserve"> </w:t>
      </w:r>
      <w:r w:rsidR="00CA74E0">
        <w:rPr>
          <w:color w:val="000000" w:themeColor="text1"/>
          <w:szCs w:val="24"/>
        </w:rPr>
        <w:t>was set at 10,000 MW.</w:t>
      </w:r>
      <w:r w:rsidRPr="0034611F">
        <w:rPr>
          <w:color w:val="000000" w:themeColor="text1"/>
          <w:szCs w:val="24"/>
        </w:rPr>
        <w:t xml:space="preserve"> </w:t>
      </w:r>
      <w:r w:rsidR="00CA74E0">
        <w:rPr>
          <w:color w:val="000000" w:themeColor="text1"/>
          <w:szCs w:val="24"/>
        </w:rPr>
        <w:t>For reference, the maximum transmission capability into the S</w:t>
      </w:r>
      <w:r w:rsidR="001F6811">
        <w:rPr>
          <w:color w:val="000000" w:themeColor="text1"/>
          <w:szCs w:val="24"/>
        </w:rPr>
        <w:t>outhern Company</w:t>
      </w:r>
      <w:r w:rsidR="00CA74E0">
        <w:rPr>
          <w:color w:val="000000" w:themeColor="text1"/>
          <w:szCs w:val="24"/>
        </w:rPr>
        <w:t xml:space="preserve"> region from outside of the Southern Balancing Area in the base case was 2,714 MW and 5,000 MW within. </w:t>
      </w:r>
      <w:r w:rsidRPr="0034611F">
        <w:rPr>
          <w:color w:val="000000" w:themeColor="text1"/>
          <w:szCs w:val="24"/>
        </w:rPr>
        <w:t>Th</w:t>
      </w:r>
      <w:r w:rsidR="00493A31">
        <w:rPr>
          <w:color w:val="000000" w:themeColor="text1"/>
          <w:szCs w:val="24"/>
        </w:rPr>
        <w:t>is</w:t>
      </w:r>
      <w:r w:rsidRPr="0034611F">
        <w:rPr>
          <w:color w:val="000000" w:themeColor="text1"/>
          <w:szCs w:val="24"/>
        </w:rPr>
        <w:t xml:space="preserve"> </w:t>
      </w:r>
      <w:r w:rsidR="00D21C08" w:rsidRPr="0034611F">
        <w:rPr>
          <w:color w:val="000000" w:themeColor="text1"/>
          <w:szCs w:val="24"/>
        </w:rPr>
        <w:t>increased</w:t>
      </w:r>
      <w:r w:rsidRPr="0034611F">
        <w:rPr>
          <w:color w:val="000000" w:themeColor="text1"/>
          <w:szCs w:val="24"/>
        </w:rPr>
        <w:t xml:space="preserve"> transmission scenario </w:t>
      </w:r>
      <w:r w:rsidR="0034611F" w:rsidRPr="0034611F">
        <w:rPr>
          <w:color w:val="000000" w:themeColor="text1"/>
          <w:szCs w:val="24"/>
        </w:rPr>
        <w:t>resulted in a decrease in the Winter EORM from 2</w:t>
      </w:r>
      <w:r w:rsidR="00CA74E0">
        <w:rPr>
          <w:color w:val="000000" w:themeColor="text1"/>
          <w:szCs w:val="24"/>
        </w:rPr>
        <w:t>2.75</w:t>
      </w:r>
      <w:r w:rsidR="0034611F" w:rsidRPr="0034611F">
        <w:rPr>
          <w:color w:val="000000" w:themeColor="text1"/>
          <w:szCs w:val="24"/>
        </w:rPr>
        <w:t>% to 2</w:t>
      </w:r>
      <w:r w:rsidR="00CA74E0">
        <w:rPr>
          <w:color w:val="000000" w:themeColor="text1"/>
          <w:szCs w:val="24"/>
        </w:rPr>
        <w:t>2.50</w:t>
      </w:r>
      <w:r w:rsidR="0034611F" w:rsidRPr="0034611F">
        <w:rPr>
          <w:color w:val="000000" w:themeColor="text1"/>
          <w:szCs w:val="24"/>
        </w:rPr>
        <w:t>%</w:t>
      </w:r>
      <w:r w:rsidRPr="0034611F">
        <w:rPr>
          <w:color w:val="000000" w:themeColor="text1"/>
          <w:szCs w:val="24"/>
        </w:rPr>
        <w:t>.</w:t>
      </w:r>
      <w:r w:rsidR="00A648A6">
        <w:rPr>
          <w:color w:val="000000" w:themeColor="text1"/>
          <w:szCs w:val="24"/>
        </w:rPr>
        <w:t xml:space="preserve"> </w:t>
      </w:r>
      <w:r w:rsidR="0034611F" w:rsidRPr="0034611F">
        <w:rPr>
          <w:color w:val="000000" w:themeColor="text1"/>
          <w:szCs w:val="24"/>
        </w:rPr>
        <w:t>It also resulted in a decrease in</w:t>
      </w:r>
      <w:r w:rsidR="002D1FEA" w:rsidRPr="0034611F">
        <w:rPr>
          <w:color w:val="000000" w:themeColor="text1"/>
          <w:szCs w:val="24"/>
        </w:rPr>
        <w:t xml:space="preserve"> the 1:10 LOLE threshold from 2</w:t>
      </w:r>
      <w:r w:rsidR="00CA74E0">
        <w:rPr>
          <w:color w:val="000000" w:themeColor="text1"/>
          <w:szCs w:val="24"/>
        </w:rPr>
        <w:t>5.75</w:t>
      </w:r>
      <w:r w:rsidR="002D1FEA" w:rsidRPr="0034611F">
        <w:rPr>
          <w:color w:val="000000" w:themeColor="text1"/>
          <w:szCs w:val="24"/>
        </w:rPr>
        <w:t xml:space="preserve">% to </w:t>
      </w:r>
      <w:r w:rsidR="00CA74E0">
        <w:rPr>
          <w:color w:val="000000" w:themeColor="text1"/>
          <w:szCs w:val="24"/>
        </w:rPr>
        <w:t>24.50</w:t>
      </w:r>
      <w:r w:rsidR="002D1FEA" w:rsidRPr="0034611F">
        <w:rPr>
          <w:color w:val="000000" w:themeColor="text1"/>
          <w:szCs w:val="24"/>
        </w:rPr>
        <w:t>%.</w:t>
      </w:r>
    </w:p>
    <w:p w14:paraId="1740AD24" w14:textId="77777777" w:rsidR="00B80EBA" w:rsidRDefault="00B80EBA" w:rsidP="00B80EBA">
      <w:pPr>
        <w:rPr>
          <w:szCs w:val="24"/>
        </w:rPr>
      </w:pPr>
    </w:p>
    <w:p w14:paraId="273F0257" w14:textId="77777777" w:rsidR="00697CE5" w:rsidRPr="00421157" w:rsidRDefault="00D449E7" w:rsidP="00A76839">
      <w:pPr>
        <w:pStyle w:val="Heading2"/>
        <w:numPr>
          <w:ilvl w:val="1"/>
          <w:numId w:val="13"/>
        </w:numPr>
        <w:ind w:left="360"/>
      </w:pPr>
      <w:bookmarkStart w:id="458" w:name="_Toc513710367"/>
      <w:bookmarkStart w:id="459" w:name="_Toc187234627"/>
      <w:r w:rsidRPr="00DB641B">
        <w:t>50% Higher</w:t>
      </w:r>
      <w:r w:rsidR="004731CD">
        <w:t xml:space="preserve"> Base</w:t>
      </w:r>
      <w:r w:rsidRPr="00DB641B">
        <w:t xml:space="preserve"> EFOR</w:t>
      </w:r>
      <w:bookmarkEnd w:id="442"/>
      <w:bookmarkEnd w:id="443"/>
      <w:bookmarkEnd w:id="444"/>
      <w:bookmarkEnd w:id="458"/>
      <w:bookmarkEnd w:id="459"/>
    </w:p>
    <w:p w14:paraId="3749894A" w14:textId="3DBE0C2C" w:rsidR="00697CE5" w:rsidRPr="002A1B61" w:rsidRDefault="00800484" w:rsidP="00217F0E">
      <w:pPr>
        <w:rPr>
          <w:color w:val="000000" w:themeColor="text1"/>
        </w:rPr>
      </w:pPr>
      <w:r w:rsidRPr="002A1B61">
        <w:rPr>
          <w:color w:val="000000" w:themeColor="text1"/>
          <w:szCs w:val="24"/>
        </w:rPr>
        <w:t xml:space="preserve">For this sensitivity, base level unit </w:t>
      </w:r>
      <w:r w:rsidR="00102825" w:rsidRPr="002A1B61">
        <w:rPr>
          <w:color w:val="000000" w:themeColor="text1"/>
          <w:szCs w:val="24"/>
        </w:rPr>
        <w:t>outages were increased by 50%</w:t>
      </w:r>
      <w:r w:rsidRPr="002A1B61">
        <w:rPr>
          <w:color w:val="000000" w:themeColor="text1"/>
          <w:szCs w:val="24"/>
        </w:rPr>
        <w:t>. Incremental cold</w:t>
      </w:r>
      <w:r w:rsidR="00393CCA" w:rsidRPr="002A1B61">
        <w:rPr>
          <w:color w:val="000000" w:themeColor="text1"/>
          <w:szCs w:val="24"/>
        </w:rPr>
        <w:t>-</w:t>
      </w:r>
      <w:r w:rsidRPr="002A1B61">
        <w:rPr>
          <w:color w:val="000000" w:themeColor="text1"/>
          <w:szCs w:val="24"/>
        </w:rPr>
        <w:t xml:space="preserve">weather outages were not impacted by the sensitivity. </w:t>
      </w:r>
      <w:r w:rsidR="00102825" w:rsidRPr="002A1B61">
        <w:rPr>
          <w:color w:val="000000" w:themeColor="text1"/>
          <w:szCs w:val="24"/>
        </w:rPr>
        <w:t xml:space="preserve">The 50% higher unit outage scenario </w:t>
      </w:r>
      <w:r w:rsidR="003B5D25" w:rsidRPr="002A1B61">
        <w:rPr>
          <w:color w:val="000000" w:themeColor="text1"/>
          <w:szCs w:val="24"/>
        </w:rPr>
        <w:t xml:space="preserve">resulted in an increase in the </w:t>
      </w:r>
      <w:r w:rsidR="004973B4" w:rsidRPr="002A1B61">
        <w:rPr>
          <w:color w:val="000000" w:themeColor="text1"/>
          <w:szCs w:val="24"/>
        </w:rPr>
        <w:t xml:space="preserve">Winter </w:t>
      </w:r>
      <w:r w:rsidR="003B5D25" w:rsidRPr="002A1B61">
        <w:rPr>
          <w:color w:val="000000" w:themeColor="text1"/>
          <w:szCs w:val="24"/>
        </w:rPr>
        <w:t>EORM from 2</w:t>
      </w:r>
      <w:r w:rsidR="00CA74E0">
        <w:rPr>
          <w:color w:val="000000" w:themeColor="text1"/>
          <w:szCs w:val="24"/>
        </w:rPr>
        <w:t>2.75</w:t>
      </w:r>
      <w:r w:rsidR="003B5D25" w:rsidRPr="002A1B61">
        <w:rPr>
          <w:color w:val="000000" w:themeColor="text1"/>
          <w:szCs w:val="24"/>
        </w:rPr>
        <w:t xml:space="preserve">% to </w:t>
      </w:r>
      <w:r w:rsidR="00CA74E0">
        <w:rPr>
          <w:color w:val="000000" w:themeColor="text1"/>
          <w:szCs w:val="24"/>
        </w:rPr>
        <w:t>23.75</w:t>
      </w:r>
      <w:r w:rsidR="003B5D25" w:rsidRPr="002A1B61">
        <w:rPr>
          <w:color w:val="000000" w:themeColor="text1"/>
          <w:szCs w:val="24"/>
        </w:rPr>
        <w:t>%. Similarly, the 1:10 LOLE threshold increased from 2</w:t>
      </w:r>
      <w:r w:rsidR="00CA74E0">
        <w:rPr>
          <w:color w:val="000000" w:themeColor="text1"/>
          <w:szCs w:val="24"/>
        </w:rPr>
        <w:t>5.75</w:t>
      </w:r>
      <w:r w:rsidR="003B5D25" w:rsidRPr="002A1B61">
        <w:rPr>
          <w:color w:val="000000" w:themeColor="text1"/>
          <w:szCs w:val="24"/>
        </w:rPr>
        <w:t xml:space="preserve">% to </w:t>
      </w:r>
      <w:r w:rsidR="002A1B61" w:rsidRPr="002A1B61">
        <w:rPr>
          <w:color w:val="000000" w:themeColor="text1"/>
          <w:szCs w:val="24"/>
        </w:rPr>
        <w:t>2</w:t>
      </w:r>
      <w:r w:rsidR="00CA74E0">
        <w:rPr>
          <w:color w:val="000000" w:themeColor="text1"/>
          <w:szCs w:val="24"/>
        </w:rPr>
        <w:t>7.25</w:t>
      </w:r>
      <w:r w:rsidR="003B5D25" w:rsidRPr="002A1B61">
        <w:rPr>
          <w:color w:val="000000" w:themeColor="text1"/>
          <w:szCs w:val="24"/>
        </w:rPr>
        <w:t>%.</w:t>
      </w:r>
    </w:p>
    <w:p w14:paraId="1B24B2E1" w14:textId="77777777" w:rsidR="003B5D25" w:rsidRPr="00124600" w:rsidRDefault="003B5D25" w:rsidP="00217F0E"/>
    <w:p w14:paraId="17768E26" w14:textId="69FBECE6" w:rsidR="00AB0186" w:rsidRDefault="00AB0186" w:rsidP="00A76839">
      <w:pPr>
        <w:pStyle w:val="Heading2"/>
        <w:numPr>
          <w:ilvl w:val="1"/>
          <w:numId w:val="13"/>
        </w:numPr>
        <w:ind w:left="360"/>
      </w:pPr>
      <w:bookmarkStart w:id="460" w:name="_Toc342047036"/>
      <w:bookmarkStart w:id="461" w:name="_Toc342048326"/>
      <w:bookmarkStart w:id="462" w:name="_Toc342382612"/>
      <w:bookmarkStart w:id="463" w:name="_Toc342047037"/>
      <w:bookmarkStart w:id="464" w:name="_Toc342048327"/>
      <w:bookmarkStart w:id="465" w:name="_Toc342382613"/>
      <w:bookmarkStart w:id="466" w:name="_Toc342047038"/>
      <w:bookmarkStart w:id="467" w:name="_Toc342048328"/>
      <w:bookmarkStart w:id="468" w:name="_Toc342382614"/>
      <w:bookmarkStart w:id="469" w:name="_Toc342047039"/>
      <w:bookmarkStart w:id="470" w:name="_Toc342048329"/>
      <w:bookmarkStart w:id="471" w:name="_Toc342382615"/>
      <w:bookmarkStart w:id="472" w:name="_Toc342047040"/>
      <w:bookmarkStart w:id="473" w:name="_Toc342048330"/>
      <w:bookmarkStart w:id="474" w:name="_Toc342382616"/>
      <w:bookmarkStart w:id="475" w:name="_Toc342047045"/>
      <w:bookmarkStart w:id="476" w:name="_Toc342048335"/>
      <w:bookmarkStart w:id="477" w:name="_Toc342382621"/>
      <w:bookmarkStart w:id="478" w:name="_Toc342047079"/>
      <w:bookmarkStart w:id="479" w:name="_Toc342048369"/>
      <w:bookmarkStart w:id="480" w:name="_Toc342382655"/>
      <w:bookmarkStart w:id="481" w:name="_Toc187234628"/>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r>
        <w:t xml:space="preserve">Unlimited </w:t>
      </w:r>
      <w:r w:rsidR="00B207B9">
        <w:t>Natural Gas</w:t>
      </w:r>
      <w:bookmarkEnd w:id="481"/>
    </w:p>
    <w:p w14:paraId="59FBBF93" w14:textId="27517D6C" w:rsidR="00B207B9" w:rsidRDefault="00B207B9" w:rsidP="1096A8CF">
      <w:r w:rsidRPr="1096A8CF">
        <w:t xml:space="preserve">As discussed in Section </w:t>
      </w:r>
      <w:r>
        <w:rPr>
          <w:szCs w:val="24"/>
        </w:rPr>
        <w:fldChar w:fldCharType="begin"/>
      </w:r>
      <w:r>
        <w:rPr>
          <w:szCs w:val="24"/>
        </w:rPr>
        <w:instrText xml:space="preserve"> REF _Ref175041866 \r \h </w:instrText>
      </w:r>
      <w:r>
        <w:rPr>
          <w:szCs w:val="24"/>
        </w:rPr>
      </w:r>
      <w:r>
        <w:rPr>
          <w:szCs w:val="24"/>
        </w:rPr>
        <w:fldChar w:fldCharType="separate"/>
      </w:r>
      <w:r w:rsidRPr="1096A8CF">
        <w:t>I</w:t>
      </w:r>
      <w:r>
        <w:rPr>
          <w:szCs w:val="24"/>
        </w:rPr>
        <w:fldChar w:fldCharType="end"/>
      </w:r>
      <w:r w:rsidRPr="1096A8CF">
        <w:t>., most facilities under control of the Operating Companies</w:t>
      </w:r>
      <w:r w:rsidDel="0051775B">
        <w:rPr>
          <w:szCs w:val="24"/>
        </w:rPr>
        <w:t xml:space="preserve"> </w:t>
      </w:r>
      <w:r w:rsidRPr="1096A8CF">
        <w:t xml:space="preserve">were modeled in compliance with the System Fuel Policy. This meant that some units had limited firm pipeline transportation available, and others only received fuel when there was </w:t>
      </w:r>
      <w:r w:rsidR="330B984F" w:rsidRPr="1096A8CF">
        <w:t>un</w:t>
      </w:r>
      <w:r w:rsidR="4A97A5A9" w:rsidRPr="1096A8CF">
        <w:t>used</w:t>
      </w:r>
      <w:r w:rsidRPr="1096A8CF">
        <w:t xml:space="preserve"> pipeline capacity, typically only during mild weather conditions. This sensitivity removed all pipeline and fuel availability restrictions to understand the impact. With unlimited natural gas and </w:t>
      </w:r>
      <w:r w:rsidR="00E2759E" w:rsidRPr="1096A8CF">
        <w:t xml:space="preserve">oil, the </w:t>
      </w:r>
      <w:r w:rsidR="00E2759E">
        <w:t>EORM dropp</w:t>
      </w:r>
      <w:r w:rsidR="00690C09">
        <w:t>ed</w:t>
      </w:r>
      <w:r w:rsidR="00E2759E">
        <w:t xml:space="preserve"> from 22.75% to </w:t>
      </w:r>
      <w:r w:rsidR="00690C09">
        <w:t>21.25</w:t>
      </w:r>
      <w:r w:rsidR="00E2759E">
        <w:t>% and the 1:10 LOLE threshold dropp</w:t>
      </w:r>
      <w:r w:rsidR="00690C09">
        <w:t>ed</w:t>
      </w:r>
      <w:r w:rsidR="00E2759E">
        <w:t xml:space="preserve"> from 25.75% to 2</w:t>
      </w:r>
      <w:r w:rsidR="00690C09">
        <w:t>0</w:t>
      </w:r>
      <w:r w:rsidR="00E2759E">
        <w:t>.25%</w:t>
      </w:r>
    </w:p>
    <w:p w14:paraId="0E61C154" w14:textId="77777777" w:rsidR="00AB0186" w:rsidRDefault="00AB0186" w:rsidP="00DB641B">
      <w:pPr>
        <w:rPr>
          <w:szCs w:val="24"/>
        </w:rPr>
      </w:pPr>
    </w:p>
    <w:p w14:paraId="519337F8" w14:textId="0D85B8C4" w:rsidR="00690C09" w:rsidRDefault="00157278" w:rsidP="00A76839">
      <w:pPr>
        <w:pStyle w:val="Heading2"/>
        <w:numPr>
          <w:ilvl w:val="1"/>
          <w:numId w:val="13"/>
        </w:numPr>
        <w:ind w:left="360"/>
      </w:pPr>
      <w:bookmarkStart w:id="482" w:name="_Toc187234629"/>
      <w:r>
        <w:t>Islanded System</w:t>
      </w:r>
      <w:bookmarkEnd w:id="482"/>
    </w:p>
    <w:p w14:paraId="27DC9112" w14:textId="1151E292" w:rsidR="00853E7E" w:rsidRDefault="00157278" w:rsidP="00853E7E">
      <w:r>
        <w:t xml:space="preserve">Historically, some level of capacity support from neighboring regions was likely during reliability events. However, unit retirements across the Southeast coupled with increasing load forecasts has reduced any capacity excess that might have existed in the past. Although the base case study </w:t>
      </w:r>
      <w:r w:rsidR="00E82032">
        <w:t>contains some level of energy assistance during high load periods, it may be important to understand the impact of that assistance on the reserve margin. Removing all transmission connections with neighboring regions, essentially islanding the S</w:t>
      </w:r>
      <w:r w:rsidR="6DA9E78A">
        <w:t>outhern</w:t>
      </w:r>
      <w:r w:rsidR="00E82032">
        <w:t xml:space="preserve"> </w:t>
      </w:r>
      <w:r w:rsidR="610A5692">
        <w:t>S</w:t>
      </w:r>
      <w:r w:rsidR="00E82032">
        <w:t>ystem</w:t>
      </w:r>
      <w:r w:rsidR="00853E7E">
        <w:t>, results in the EORM dropping from 22.75% to 21.00% and the 1:10 LOLE threshold increasing from 25.75% to 27.50%</w:t>
      </w:r>
    </w:p>
    <w:p w14:paraId="2B7878CC" w14:textId="53B6211A" w:rsidR="00AB0186" w:rsidRDefault="00AB0186" w:rsidP="00DB641B">
      <w:pPr>
        <w:rPr>
          <w:szCs w:val="24"/>
        </w:rPr>
      </w:pPr>
    </w:p>
    <w:p w14:paraId="1A929AEC" w14:textId="736A2C7E" w:rsidR="00853E7E" w:rsidRDefault="00853E7E" w:rsidP="00A76839">
      <w:pPr>
        <w:pStyle w:val="Heading2"/>
        <w:numPr>
          <w:ilvl w:val="1"/>
          <w:numId w:val="13"/>
        </w:numPr>
        <w:ind w:left="360"/>
      </w:pPr>
      <w:bookmarkStart w:id="483" w:name="_Toc187234630"/>
      <w:r>
        <w:t>Maximum Weather Years</w:t>
      </w:r>
      <w:bookmarkEnd w:id="483"/>
    </w:p>
    <w:p w14:paraId="326938E8" w14:textId="5FE3F0C7" w:rsidR="00853E7E" w:rsidRDefault="00853E7E" w:rsidP="00853E7E">
      <w:pPr>
        <w:rPr>
          <w:szCs w:val="24"/>
        </w:rPr>
      </w:pPr>
      <w:r>
        <w:rPr>
          <w:szCs w:val="24"/>
        </w:rPr>
        <w:t>As explained in Section</w:t>
      </w:r>
      <w:r w:rsidR="00662B57">
        <w:rPr>
          <w:szCs w:val="24"/>
        </w:rPr>
        <w:t xml:space="preserve"> I</w:t>
      </w:r>
      <w:r>
        <w:rPr>
          <w:szCs w:val="24"/>
        </w:rPr>
        <w:t>.</w:t>
      </w:r>
      <w:r w:rsidR="00662B57">
        <w:rPr>
          <w:szCs w:val="24"/>
        </w:rPr>
        <w:fldChar w:fldCharType="begin"/>
      </w:r>
      <w:r w:rsidR="00662B57">
        <w:rPr>
          <w:szCs w:val="24"/>
        </w:rPr>
        <w:instrText xml:space="preserve"> REF _Ref175131526 \r \h </w:instrText>
      </w:r>
      <w:r w:rsidR="00662B57">
        <w:rPr>
          <w:szCs w:val="24"/>
        </w:rPr>
      </w:r>
      <w:r w:rsidR="00662B57">
        <w:rPr>
          <w:szCs w:val="24"/>
        </w:rPr>
        <w:fldChar w:fldCharType="separate"/>
      </w:r>
      <w:r w:rsidR="00662B57">
        <w:rPr>
          <w:szCs w:val="24"/>
        </w:rPr>
        <w:t xml:space="preserve">C. </w:t>
      </w:r>
      <w:r w:rsidR="00662B57">
        <w:rPr>
          <w:szCs w:val="24"/>
        </w:rPr>
        <w:fldChar w:fldCharType="end"/>
      </w:r>
      <w:r>
        <w:rPr>
          <w:szCs w:val="24"/>
        </w:rPr>
        <w:t xml:space="preserve">, the 2024 Reserve Margin Study was performed with 50 weather years from 1973 – 2022. This sensitivity considers the inclusion of all 61 available weather years from 1962 – 2022. With the additional eleven weather years included in the analysis, the </w:t>
      </w:r>
      <w:r>
        <w:t>EORM remained the same at 22.75% and the 1:10 LOLE threshold increased from 25.75% to 27.50%</w:t>
      </w:r>
    </w:p>
    <w:p w14:paraId="78D7262D" w14:textId="77777777" w:rsidR="001F6811" w:rsidRDefault="001F6811" w:rsidP="00DB641B">
      <w:pPr>
        <w:rPr>
          <w:szCs w:val="24"/>
        </w:rPr>
      </w:pPr>
    </w:p>
    <w:p w14:paraId="504EF8EF" w14:textId="77777777" w:rsidR="001F6811" w:rsidRDefault="001F6811" w:rsidP="00DB641B">
      <w:pPr>
        <w:rPr>
          <w:szCs w:val="24"/>
        </w:rPr>
      </w:pPr>
    </w:p>
    <w:p w14:paraId="0C606A68" w14:textId="77777777" w:rsidR="009F7A58" w:rsidRDefault="009F7A58" w:rsidP="00D76F92">
      <w:pPr>
        <w:pStyle w:val="Heading2"/>
        <w:numPr>
          <w:ilvl w:val="0"/>
          <w:numId w:val="0"/>
        </w:numPr>
      </w:pPr>
      <w:bookmarkStart w:id="484" w:name="_Toc187234631"/>
      <w:r>
        <w:t>Summary of Sensitivity Analysis</w:t>
      </w:r>
      <w:bookmarkEnd w:id="484"/>
    </w:p>
    <w:p w14:paraId="3D4C8653" w14:textId="35AE7908" w:rsidR="009F7A58" w:rsidRDefault="009F7A58" w:rsidP="00210AD0">
      <w:pPr>
        <w:rPr>
          <w:b/>
        </w:rPr>
      </w:pPr>
      <w:r>
        <w:rPr>
          <w:szCs w:val="24"/>
        </w:rPr>
        <w:fldChar w:fldCharType="begin"/>
      </w:r>
      <w:r>
        <w:rPr>
          <w:szCs w:val="24"/>
        </w:rPr>
        <w:instrText xml:space="preserve"> REF _Ref92806904 \h </w:instrText>
      </w:r>
      <w:r w:rsidR="00210AD0">
        <w:rPr>
          <w:szCs w:val="24"/>
        </w:rPr>
        <w:instrText xml:space="preserve"> \* MERGEFORMAT </w:instrText>
      </w:r>
      <w:r>
        <w:rPr>
          <w:szCs w:val="24"/>
        </w:rPr>
      </w:r>
      <w:r>
        <w:rPr>
          <w:szCs w:val="24"/>
        </w:rPr>
        <w:fldChar w:fldCharType="separate"/>
      </w:r>
      <w:r w:rsidR="00161C58">
        <w:t xml:space="preserve">Figure </w:t>
      </w:r>
      <w:r w:rsidR="00161C58">
        <w:rPr>
          <w:noProof/>
        </w:rPr>
        <w:t>IV</w:t>
      </w:r>
      <w:r w:rsidR="00161C58">
        <w:t>.</w:t>
      </w:r>
      <w:r w:rsidR="00161C58">
        <w:rPr>
          <w:noProof/>
        </w:rPr>
        <w:t>2</w:t>
      </w:r>
      <w:r>
        <w:rPr>
          <w:szCs w:val="24"/>
        </w:rPr>
        <w:fldChar w:fldCharType="end"/>
      </w:r>
      <w:r w:rsidRPr="21F6B429">
        <w:t xml:space="preserve"> below graphs the results of all the sensitivity analyses (</w:t>
      </w:r>
      <w:r w:rsidRPr="21F6B429">
        <w:rPr>
          <w:i/>
        </w:rPr>
        <w:t>i.e.</w:t>
      </w:r>
      <w:r w:rsidRPr="21F6B429">
        <w:t xml:space="preserve">, Sensitivities A through </w:t>
      </w:r>
      <w:r w:rsidR="4B936EB6" w:rsidRPr="21F6B429">
        <w:t>I</w:t>
      </w:r>
      <w:r w:rsidRPr="21F6B429">
        <w:t>). The chart shows both Winter EORM and the 1:10 LOLE threshold. Together, they demonstrate that the sensitivity analyses validate the base case results of the 202</w:t>
      </w:r>
      <w:r w:rsidR="007B57F0" w:rsidRPr="21F6B429">
        <w:t>4</w:t>
      </w:r>
      <w:r w:rsidRPr="21F6B429">
        <w:t xml:space="preserve"> Reserve Margin Study and indicate that its results are robust against those sensitivities. Table IV.1 below presents the same sensitivity data.</w:t>
      </w:r>
    </w:p>
    <w:p w14:paraId="7D7D941A" w14:textId="0D6DA826" w:rsidR="002C4C74" w:rsidRDefault="002C4C74" w:rsidP="002D6EAA">
      <w:pPr>
        <w:pStyle w:val="Caption"/>
        <w:jc w:val="both"/>
      </w:pPr>
      <w:bookmarkStart w:id="485" w:name="_Ref513787151"/>
      <w:bookmarkStart w:id="486" w:name="_Toc513710604"/>
    </w:p>
    <w:p w14:paraId="1CF7F2EA" w14:textId="5FC5AB3C" w:rsidR="007C755E" w:rsidRPr="007C755E" w:rsidRDefault="00B53068" w:rsidP="003A51B7">
      <w:r>
        <w:rPr>
          <w:noProof/>
        </w:rPr>
        <w:drawing>
          <wp:inline distT="0" distB="0" distL="0" distR="0" wp14:anchorId="0C585FD8" wp14:editId="54FB0D7D">
            <wp:extent cx="5876925" cy="4269510"/>
            <wp:effectExtent l="0" t="0" r="0" b="0"/>
            <wp:docPr id="16372604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882469" cy="4273537"/>
                    </a:xfrm>
                    <a:prstGeom prst="rect">
                      <a:avLst/>
                    </a:prstGeom>
                    <a:noFill/>
                  </pic:spPr>
                </pic:pic>
              </a:graphicData>
            </a:graphic>
          </wp:inline>
        </w:drawing>
      </w:r>
    </w:p>
    <w:p w14:paraId="2AD40C65" w14:textId="148D7AF6" w:rsidR="00060B05" w:rsidRDefault="002D6EAA" w:rsidP="002D6EAA">
      <w:pPr>
        <w:pStyle w:val="Caption"/>
        <w:jc w:val="both"/>
      </w:pPr>
      <w:bookmarkStart w:id="487" w:name="_Ref92806904"/>
      <w:bookmarkStart w:id="488" w:name="_Toc187234692"/>
      <w:r>
        <w:t xml:space="preserve">Figure </w:t>
      </w:r>
      <w:r w:rsidR="00F262E6">
        <w:fldChar w:fldCharType="begin"/>
      </w:r>
      <w:r w:rsidR="00F262E6">
        <w:instrText xml:space="preserve"> STYLEREF 1 \s </w:instrText>
      </w:r>
      <w:r w:rsidR="00F262E6">
        <w:fldChar w:fldCharType="separate"/>
      </w:r>
      <w:r w:rsidR="00F262E6">
        <w:rPr>
          <w:noProof/>
        </w:rPr>
        <w:t>IV</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2</w:t>
      </w:r>
      <w:r w:rsidR="00F262E6">
        <w:fldChar w:fldCharType="end"/>
      </w:r>
      <w:bookmarkEnd w:id="485"/>
      <w:bookmarkEnd w:id="487"/>
      <w:r>
        <w:t xml:space="preserve">. </w:t>
      </w:r>
      <w:r w:rsidR="003E123A">
        <w:t xml:space="preserve">Winter </w:t>
      </w:r>
      <w:r w:rsidRPr="005E2448">
        <w:t>Sensitivity Results</w:t>
      </w:r>
      <w:bookmarkEnd w:id="486"/>
      <w:r w:rsidR="004F246D">
        <w:t xml:space="preserve"> </w:t>
      </w:r>
      <w:r w:rsidR="00F71373">
        <w:t>R</w:t>
      </w:r>
      <w:r w:rsidR="004F246D">
        <w:t>elative to the Base Case</w:t>
      </w:r>
      <w:bookmarkEnd w:id="488"/>
    </w:p>
    <w:p w14:paraId="325EE647" w14:textId="77777777" w:rsidR="007B57F0" w:rsidRDefault="007B57F0" w:rsidP="007B57F0"/>
    <w:p w14:paraId="701B1DD5" w14:textId="77777777" w:rsidR="003A51B7" w:rsidRDefault="003A51B7" w:rsidP="007B57F0"/>
    <w:p w14:paraId="4E35160D" w14:textId="77777777" w:rsidR="003A51B7" w:rsidRDefault="003A51B7" w:rsidP="007B57F0"/>
    <w:p w14:paraId="215D0BF1" w14:textId="77777777" w:rsidR="003A51B7" w:rsidRDefault="003A51B7" w:rsidP="007B57F0"/>
    <w:p w14:paraId="38EB8CDC" w14:textId="77777777" w:rsidR="003A51B7" w:rsidRDefault="003A51B7" w:rsidP="007B57F0"/>
    <w:p w14:paraId="3FCBE0F5" w14:textId="77777777" w:rsidR="003A51B7" w:rsidRDefault="003A51B7" w:rsidP="007B57F0"/>
    <w:p w14:paraId="019CBE20" w14:textId="77777777" w:rsidR="003A51B7" w:rsidRDefault="003A51B7" w:rsidP="007B57F0"/>
    <w:p w14:paraId="0F597F13" w14:textId="77777777" w:rsidR="003A51B7" w:rsidRDefault="003A51B7" w:rsidP="007B57F0"/>
    <w:p w14:paraId="1D57C06C" w14:textId="77777777" w:rsidR="003A51B7" w:rsidRDefault="003A51B7" w:rsidP="007B57F0"/>
    <w:p w14:paraId="56D316FC" w14:textId="77777777" w:rsidR="003A51B7" w:rsidRDefault="003A51B7" w:rsidP="007B57F0"/>
    <w:p w14:paraId="6222A7FE" w14:textId="77777777" w:rsidR="003A51B7" w:rsidRPr="007B57F0" w:rsidRDefault="003A51B7" w:rsidP="007B57F0"/>
    <w:p w14:paraId="267C98E0" w14:textId="7838820C" w:rsidR="00922797" w:rsidRDefault="00922797" w:rsidP="00922797">
      <w:pPr>
        <w:pStyle w:val="Caption"/>
        <w:keepNext/>
      </w:pPr>
      <w:bookmarkStart w:id="489" w:name="_Toc440257898"/>
      <w:bookmarkStart w:id="490" w:name="_Toc440260787"/>
      <w:bookmarkStart w:id="491" w:name="_Toc440262251"/>
      <w:bookmarkStart w:id="492" w:name="_Toc440447860"/>
      <w:bookmarkStart w:id="493" w:name="_Toc440447927"/>
      <w:bookmarkStart w:id="494" w:name="_Toc440457977"/>
      <w:bookmarkStart w:id="495" w:name="_Toc440458391"/>
      <w:bookmarkStart w:id="496" w:name="_Toc440257899"/>
      <w:bookmarkStart w:id="497" w:name="_Toc440260788"/>
      <w:bookmarkStart w:id="498" w:name="_Toc440262252"/>
      <w:bookmarkStart w:id="499" w:name="_Toc440447861"/>
      <w:bookmarkStart w:id="500" w:name="_Toc440447928"/>
      <w:bookmarkStart w:id="501" w:name="_Toc440457978"/>
      <w:bookmarkStart w:id="502" w:name="_Toc440458392"/>
      <w:bookmarkStart w:id="503" w:name="_Toc187234653"/>
      <w:bookmarkStart w:id="504" w:name="_Toc440262253"/>
      <w:bookmarkStart w:id="505" w:name="_Toc440447929"/>
      <w:bookmarkStart w:id="506" w:name="_Toc440457979"/>
      <w:bookmarkStart w:id="507" w:name="_Toc513710370"/>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r>
        <w:t xml:space="preserve">Table </w:t>
      </w:r>
      <w:r w:rsidR="00161C58">
        <w:fldChar w:fldCharType="begin"/>
      </w:r>
      <w:r w:rsidR="00161C58">
        <w:instrText xml:space="preserve"> STYLEREF 1 \s </w:instrText>
      </w:r>
      <w:r w:rsidR="00161C58">
        <w:fldChar w:fldCharType="separate"/>
      </w:r>
      <w:r w:rsidR="00161C58">
        <w:rPr>
          <w:noProof/>
        </w:rPr>
        <w:t>IV</w:t>
      </w:r>
      <w:r w:rsidR="00161C58">
        <w:rPr>
          <w:noProof/>
        </w:rPr>
        <w:fldChar w:fldCharType="end"/>
      </w:r>
      <w:r>
        <w:noBreakHyphen/>
      </w:r>
      <w:r w:rsidR="00161C58">
        <w:fldChar w:fldCharType="begin"/>
      </w:r>
      <w:r w:rsidR="00161C58">
        <w:instrText xml:space="preserve"> SEQ Table \* ARABIC \s 1 </w:instrText>
      </w:r>
      <w:r w:rsidR="00161C58">
        <w:fldChar w:fldCharType="separate"/>
      </w:r>
      <w:r w:rsidR="00161C58">
        <w:rPr>
          <w:noProof/>
        </w:rPr>
        <w:t>1</w:t>
      </w:r>
      <w:r w:rsidR="00161C58">
        <w:rPr>
          <w:noProof/>
        </w:rPr>
        <w:fldChar w:fldCharType="end"/>
      </w:r>
      <w:r>
        <w:t xml:space="preserve">: </w:t>
      </w:r>
      <w:r w:rsidRPr="005E2448">
        <w:t xml:space="preserve">Summary of </w:t>
      </w:r>
      <w:r>
        <w:t xml:space="preserve">Winter </w:t>
      </w:r>
      <w:r w:rsidRPr="005E2448">
        <w:t>Sensitivity Results</w:t>
      </w:r>
      <w:bookmarkEnd w:id="503"/>
    </w:p>
    <w:tbl>
      <w:tblPr>
        <w:tblW w:w="3200" w:type="dxa"/>
        <w:tblInd w:w="3068" w:type="dxa"/>
        <w:tblLook w:val="04A0" w:firstRow="1" w:lastRow="0" w:firstColumn="1" w:lastColumn="0" w:noHBand="0" w:noVBand="1"/>
      </w:tblPr>
      <w:tblGrid>
        <w:gridCol w:w="1240"/>
        <w:gridCol w:w="980"/>
        <w:gridCol w:w="980"/>
      </w:tblGrid>
      <w:tr w:rsidR="007B57F0" w:rsidRPr="007B57F0" w14:paraId="6C280FE8" w14:textId="77777777" w:rsidTr="007B57F0">
        <w:trPr>
          <w:trHeight w:val="300"/>
        </w:trPr>
        <w:tc>
          <w:tcPr>
            <w:tcW w:w="124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4D3162A4" w14:textId="77777777" w:rsidR="007B57F0" w:rsidRPr="007B57F0" w:rsidRDefault="007B57F0" w:rsidP="007B57F0">
            <w:pPr>
              <w:spacing w:line="240" w:lineRule="auto"/>
              <w:jc w:val="left"/>
              <w:rPr>
                <w:rFonts w:ascii="Calibri" w:hAnsi="Calibri" w:cs="Calibri"/>
                <w:b/>
                <w:bCs/>
                <w:color w:val="000000"/>
                <w:sz w:val="22"/>
                <w:szCs w:val="22"/>
              </w:rPr>
            </w:pPr>
            <w:r w:rsidRPr="007B57F0">
              <w:rPr>
                <w:rFonts w:ascii="Calibri" w:hAnsi="Calibri" w:cs="Calibri"/>
                <w:b/>
                <w:bCs/>
                <w:color w:val="000000"/>
                <w:sz w:val="22"/>
                <w:szCs w:val="22"/>
              </w:rPr>
              <w:t>Sensitivity</w:t>
            </w:r>
          </w:p>
        </w:tc>
        <w:tc>
          <w:tcPr>
            <w:tcW w:w="980" w:type="dxa"/>
            <w:tcBorders>
              <w:top w:val="single" w:sz="8" w:space="0" w:color="auto"/>
              <w:left w:val="nil"/>
              <w:bottom w:val="single" w:sz="4" w:space="0" w:color="auto"/>
              <w:right w:val="single" w:sz="4" w:space="0" w:color="auto"/>
            </w:tcBorders>
            <w:shd w:val="clear" w:color="auto" w:fill="auto"/>
            <w:noWrap/>
            <w:vAlign w:val="bottom"/>
            <w:hideMark/>
          </w:tcPr>
          <w:p w14:paraId="7AA206D1" w14:textId="77777777" w:rsidR="007B57F0" w:rsidRPr="007B57F0" w:rsidRDefault="007B57F0" w:rsidP="007B57F0">
            <w:pPr>
              <w:spacing w:line="240" w:lineRule="auto"/>
              <w:jc w:val="center"/>
              <w:rPr>
                <w:rFonts w:ascii="Calibri" w:hAnsi="Calibri" w:cs="Calibri"/>
                <w:b/>
                <w:bCs/>
                <w:color w:val="000000"/>
                <w:sz w:val="22"/>
                <w:szCs w:val="22"/>
              </w:rPr>
            </w:pPr>
            <w:r w:rsidRPr="007B57F0">
              <w:rPr>
                <w:rFonts w:ascii="Calibri" w:hAnsi="Calibri" w:cs="Calibri"/>
                <w:b/>
                <w:bCs/>
                <w:color w:val="000000"/>
                <w:sz w:val="22"/>
                <w:szCs w:val="22"/>
              </w:rPr>
              <w:t>EORM</w:t>
            </w:r>
          </w:p>
        </w:tc>
        <w:tc>
          <w:tcPr>
            <w:tcW w:w="980" w:type="dxa"/>
            <w:tcBorders>
              <w:top w:val="single" w:sz="8" w:space="0" w:color="auto"/>
              <w:left w:val="nil"/>
              <w:bottom w:val="single" w:sz="4" w:space="0" w:color="auto"/>
              <w:right w:val="single" w:sz="8" w:space="0" w:color="auto"/>
            </w:tcBorders>
            <w:shd w:val="clear" w:color="auto" w:fill="auto"/>
            <w:noWrap/>
            <w:vAlign w:val="bottom"/>
            <w:hideMark/>
          </w:tcPr>
          <w:p w14:paraId="34EC6694" w14:textId="77777777" w:rsidR="007B57F0" w:rsidRPr="007B57F0" w:rsidRDefault="007B57F0" w:rsidP="007B57F0">
            <w:pPr>
              <w:spacing w:line="240" w:lineRule="auto"/>
              <w:jc w:val="center"/>
              <w:rPr>
                <w:rFonts w:ascii="Calibri" w:hAnsi="Calibri" w:cs="Calibri"/>
                <w:b/>
                <w:bCs/>
                <w:color w:val="000000"/>
                <w:sz w:val="22"/>
                <w:szCs w:val="22"/>
              </w:rPr>
            </w:pPr>
            <w:r w:rsidRPr="007B57F0">
              <w:rPr>
                <w:rFonts w:ascii="Calibri" w:hAnsi="Calibri" w:cs="Calibri"/>
                <w:b/>
                <w:bCs/>
                <w:color w:val="000000"/>
                <w:sz w:val="22"/>
                <w:szCs w:val="22"/>
              </w:rPr>
              <w:t>1:10</w:t>
            </w:r>
          </w:p>
        </w:tc>
      </w:tr>
      <w:tr w:rsidR="007B57F0" w:rsidRPr="007B57F0" w14:paraId="7B6C32FA"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57F736CF" w14:textId="77777777" w:rsidR="007B57F0" w:rsidRPr="007B57F0" w:rsidRDefault="007B57F0" w:rsidP="007B57F0">
            <w:pPr>
              <w:spacing w:line="240" w:lineRule="auto"/>
              <w:jc w:val="left"/>
              <w:rPr>
                <w:rFonts w:ascii="Calibri" w:hAnsi="Calibri" w:cs="Calibri"/>
                <w:color w:val="000000"/>
                <w:sz w:val="22"/>
                <w:szCs w:val="22"/>
              </w:rPr>
            </w:pPr>
            <w:r w:rsidRPr="007B57F0">
              <w:rPr>
                <w:rFonts w:ascii="Calibri" w:hAnsi="Calibri" w:cs="Calibri"/>
                <w:color w:val="000000"/>
                <w:sz w:val="22"/>
                <w:szCs w:val="22"/>
              </w:rPr>
              <w:t>Base</w:t>
            </w:r>
          </w:p>
        </w:tc>
        <w:tc>
          <w:tcPr>
            <w:tcW w:w="980" w:type="dxa"/>
            <w:tcBorders>
              <w:top w:val="nil"/>
              <w:left w:val="nil"/>
              <w:bottom w:val="single" w:sz="4" w:space="0" w:color="auto"/>
              <w:right w:val="single" w:sz="4" w:space="0" w:color="auto"/>
            </w:tcBorders>
            <w:shd w:val="clear" w:color="auto" w:fill="auto"/>
            <w:noWrap/>
            <w:vAlign w:val="bottom"/>
            <w:hideMark/>
          </w:tcPr>
          <w:p w14:paraId="41FE8308"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22.75%</w:t>
            </w:r>
          </w:p>
        </w:tc>
        <w:tc>
          <w:tcPr>
            <w:tcW w:w="980" w:type="dxa"/>
            <w:tcBorders>
              <w:top w:val="nil"/>
              <w:left w:val="nil"/>
              <w:bottom w:val="single" w:sz="4" w:space="0" w:color="auto"/>
              <w:right w:val="single" w:sz="8" w:space="0" w:color="auto"/>
            </w:tcBorders>
            <w:shd w:val="clear" w:color="auto" w:fill="auto"/>
            <w:noWrap/>
            <w:vAlign w:val="bottom"/>
            <w:hideMark/>
          </w:tcPr>
          <w:p w14:paraId="5BF5AFF5"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25.75%</w:t>
            </w:r>
          </w:p>
        </w:tc>
      </w:tr>
      <w:tr w:rsidR="007B57F0" w:rsidRPr="007B57F0" w14:paraId="47F37614"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00EC8D05" w14:textId="77777777" w:rsidR="007B57F0" w:rsidRPr="007B57F0" w:rsidRDefault="007B57F0" w:rsidP="007B57F0">
            <w:pPr>
              <w:spacing w:line="240" w:lineRule="auto"/>
              <w:jc w:val="left"/>
              <w:rPr>
                <w:rFonts w:ascii="Calibri" w:hAnsi="Calibri" w:cs="Calibri"/>
                <w:color w:val="000000"/>
                <w:sz w:val="22"/>
                <w:szCs w:val="22"/>
              </w:rPr>
            </w:pPr>
            <w:r w:rsidRPr="007B57F0">
              <w:rPr>
                <w:rFonts w:ascii="Calibri" w:hAnsi="Calibri" w:cs="Calibri"/>
                <w:color w:val="000000"/>
                <w:sz w:val="22"/>
                <w:szCs w:val="22"/>
              </w:rPr>
              <w:t>A</w:t>
            </w:r>
          </w:p>
        </w:tc>
        <w:tc>
          <w:tcPr>
            <w:tcW w:w="980" w:type="dxa"/>
            <w:tcBorders>
              <w:top w:val="nil"/>
              <w:left w:val="nil"/>
              <w:bottom w:val="single" w:sz="4" w:space="0" w:color="auto"/>
              <w:right w:val="single" w:sz="4" w:space="0" w:color="auto"/>
            </w:tcBorders>
            <w:shd w:val="clear" w:color="auto" w:fill="auto"/>
            <w:noWrap/>
            <w:vAlign w:val="bottom"/>
            <w:hideMark/>
          </w:tcPr>
          <w:p w14:paraId="0DEAB763"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25.75%</w:t>
            </w:r>
          </w:p>
        </w:tc>
        <w:tc>
          <w:tcPr>
            <w:tcW w:w="980" w:type="dxa"/>
            <w:tcBorders>
              <w:top w:val="nil"/>
              <w:left w:val="nil"/>
              <w:bottom w:val="single" w:sz="4" w:space="0" w:color="auto"/>
              <w:right w:val="single" w:sz="8" w:space="0" w:color="auto"/>
            </w:tcBorders>
            <w:shd w:val="clear" w:color="auto" w:fill="auto"/>
            <w:noWrap/>
            <w:vAlign w:val="bottom"/>
            <w:hideMark/>
          </w:tcPr>
          <w:p w14:paraId="0089F7C8"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25.75%</w:t>
            </w:r>
          </w:p>
        </w:tc>
      </w:tr>
      <w:tr w:rsidR="007B57F0" w:rsidRPr="007B57F0" w14:paraId="3B5A83CA"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6205CB39" w14:textId="77777777" w:rsidR="007B57F0" w:rsidRPr="007B57F0" w:rsidRDefault="007B57F0" w:rsidP="007B57F0">
            <w:pPr>
              <w:spacing w:line="240" w:lineRule="auto"/>
              <w:jc w:val="left"/>
              <w:rPr>
                <w:rFonts w:ascii="Calibri" w:hAnsi="Calibri" w:cs="Calibri"/>
                <w:color w:val="000000"/>
                <w:sz w:val="22"/>
                <w:szCs w:val="22"/>
              </w:rPr>
            </w:pPr>
            <w:r w:rsidRPr="007B57F0">
              <w:rPr>
                <w:rFonts w:ascii="Calibri" w:hAnsi="Calibri" w:cs="Calibri"/>
                <w:color w:val="000000"/>
                <w:sz w:val="22"/>
                <w:szCs w:val="22"/>
              </w:rPr>
              <w:t>A'</w:t>
            </w:r>
          </w:p>
        </w:tc>
        <w:tc>
          <w:tcPr>
            <w:tcW w:w="980" w:type="dxa"/>
            <w:tcBorders>
              <w:top w:val="nil"/>
              <w:left w:val="nil"/>
              <w:bottom w:val="single" w:sz="4" w:space="0" w:color="auto"/>
              <w:right w:val="single" w:sz="4" w:space="0" w:color="auto"/>
            </w:tcBorders>
            <w:shd w:val="clear" w:color="auto" w:fill="auto"/>
            <w:noWrap/>
            <w:vAlign w:val="bottom"/>
            <w:hideMark/>
          </w:tcPr>
          <w:p w14:paraId="13523143"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20.75%</w:t>
            </w:r>
          </w:p>
        </w:tc>
        <w:tc>
          <w:tcPr>
            <w:tcW w:w="980" w:type="dxa"/>
            <w:tcBorders>
              <w:top w:val="nil"/>
              <w:left w:val="nil"/>
              <w:bottom w:val="single" w:sz="4" w:space="0" w:color="auto"/>
              <w:right w:val="single" w:sz="8" w:space="0" w:color="auto"/>
            </w:tcBorders>
            <w:shd w:val="clear" w:color="auto" w:fill="auto"/>
            <w:noWrap/>
            <w:vAlign w:val="bottom"/>
            <w:hideMark/>
          </w:tcPr>
          <w:p w14:paraId="53388BDD"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25.75%</w:t>
            </w:r>
          </w:p>
        </w:tc>
      </w:tr>
      <w:tr w:rsidR="007B57F0" w:rsidRPr="007B57F0" w14:paraId="4F4B9D2F"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1A7EA272" w14:textId="77777777" w:rsidR="007B57F0" w:rsidRPr="007B57F0" w:rsidRDefault="007B57F0" w:rsidP="007B57F0">
            <w:pPr>
              <w:spacing w:line="240" w:lineRule="auto"/>
              <w:jc w:val="left"/>
              <w:rPr>
                <w:rFonts w:ascii="Calibri" w:hAnsi="Calibri" w:cs="Calibri"/>
                <w:color w:val="000000"/>
                <w:sz w:val="22"/>
                <w:szCs w:val="22"/>
              </w:rPr>
            </w:pPr>
            <w:r w:rsidRPr="007B57F0">
              <w:rPr>
                <w:rFonts w:ascii="Calibri" w:hAnsi="Calibri" w:cs="Calibri"/>
                <w:color w:val="000000"/>
                <w:sz w:val="22"/>
                <w:szCs w:val="22"/>
              </w:rPr>
              <w:t>B</w:t>
            </w:r>
          </w:p>
        </w:tc>
        <w:tc>
          <w:tcPr>
            <w:tcW w:w="980" w:type="dxa"/>
            <w:tcBorders>
              <w:top w:val="nil"/>
              <w:left w:val="nil"/>
              <w:bottom w:val="single" w:sz="4" w:space="0" w:color="auto"/>
              <w:right w:val="single" w:sz="4" w:space="0" w:color="auto"/>
            </w:tcBorders>
            <w:shd w:val="clear" w:color="auto" w:fill="auto"/>
            <w:noWrap/>
            <w:vAlign w:val="bottom"/>
            <w:hideMark/>
          </w:tcPr>
          <w:p w14:paraId="072A9C86"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21.75%</w:t>
            </w:r>
          </w:p>
        </w:tc>
        <w:tc>
          <w:tcPr>
            <w:tcW w:w="980" w:type="dxa"/>
            <w:tcBorders>
              <w:top w:val="nil"/>
              <w:left w:val="nil"/>
              <w:bottom w:val="single" w:sz="4" w:space="0" w:color="auto"/>
              <w:right w:val="single" w:sz="8" w:space="0" w:color="auto"/>
            </w:tcBorders>
            <w:shd w:val="clear" w:color="auto" w:fill="auto"/>
            <w:noWrap/>
            <w:vAlign w:val="bottom"/>
            <w:hideMark/>
          </w:tcPr>
          <w:p w14:paraId="08C3817F"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25.75%</w:t>
            </w:r>
          </w:p>
        </w:tc>
      </w:tr>
      <w:tr w:rsidR="007B57F0" w:rsidRPr="007B57F0" w14:paraId="75E66361"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22D9E8D2" w14:textId="381E22F2" w:rsidR="007B57F0" w:rsidRPr="007B57F0" w:rsidRDefault="6B180FFA" w:rsidP="007B57F0">
            <w:pPr>
              <w:spacing w:line="240" w:lineRule="auto"/>
              <w:jc w:val="left"/>
              <w:rPr>
                <w:rFonts w:ascii="Calibri" w:hAnsi="Calibri" w:cs="Calibri"/>
                <w:color w:val="000000"/>
                <w:sz w:val="22"/>
                <w:szCs w:val="22"/>
              </w:rPr>
            </w:pPr>
            <w:r w:rsidRPr="21F6B429">
              <w:rPr>
                <w:rFonts w:ascii="Calibri" w:hAnsi="Calibri" w:cs="Calibri"/>
                <w:color w:val="000000" w:themeColor="text1"/>
                <w:sz w:val="22"/>
                <w:szCs w:val="22"/>
              </w:rPr>
              <w:t>B’</w:t>
            </w:r>
          </w:p>
        </w:tc>
        <w:tc>
          <w:tcPr>
            <w:tcW w:w="980" w:type="dxa"/>
            <w:tcBorders>
              <w:top w:val="nil"/>
              <w:left w:val="nil"/>
              <w:bottom w:val="single" w:sz="4" w:space="0" w:color="auto"/>
              <w:right w:val="single" w:sz="4" w:space="0" w:color="auto"/>
            </w:tcBorders>
            <w:shd w:val="clear" w:color="auto" w:fill="auto"/>
            <w:noWrap/>
            <w:vAlign w:val="bottom"/>
            <w:hideMark/>
          </w:tcPr>
          <w:p w14:paraId="1CC5847A"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22.75%</w:t>
            </w:r>
          </w:p>
        </w:tc>
        <w:tc>
          <w:tcPr>
            <w:tcW w:w="980" w:type="dxa"/>
            <w:tcBorders>
              <w:top w:val="nil"/>
              <w:left w:val="nil"/>
              <w:bottom w:val="single" w:sz="4" w:space="0" w:color="auto"/>
              <w:right w:val="single" w:sz="8" w:space="0" w:color="auto"/>
            </w:tcBorders>
            <w:shd w:val="clear" w:color="auto" w:fill="auto"/>
            <w:noWrap/>
            <w:vAlign w:val="bottom"/>
            <w:hideMark/>
          </w:tcPr>
          <w:p w14:paraId="6077FB09"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25.75%</w:t>
            </w:r>
          </w:p>
        </w:tc>
      </w:tr>
      <w:tr w:rsidR="007B57F0" w:rsidRPr="007B57F0" w14:paraId="635862B8"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227F7BA6" w14:textId="772F6219" w:rsidR="007B57F0" w:rsidRPr="007B57F0" w:rsidRDefault="37C3723E" w:rsidP="007B57F0">
            <w:pPr>
              <w:spacing w:line="240" w:lineRule="auto"/>
              <w:jc w:val="left"/>
              <w:rPr>
                <w:rFonts w:ascii="Calibri" w:hAnsi="Calibri" w:cs="Calibri"/>
                <w:color w:val="000000"/>
                <w:sz w:val="22"/>
                <w:szCs w:val="22"/>
              </w:rPr>
            </w:pPr>
            <w:r w:rsidRPr="21F6B429">
              <w:rPr>
                <w:rFonts w:ascii="Calibri" w:hAnsi="Calibri" w:cs="Calibri"/>
                <w:color w:val="000000" w:themeColor="text1"/>
                <w:sz w:val="22"/>
                <w:szCs w:val="22"/>
              </w:rPr>
              <w:t>C</w:t>
            </w:r>
          </w:p>
        </w:tc>
        <w:tc>
          <w:tcPr>
            <w:tcW w:w="980" w:type="dxa"/>
            <w:tcBorders>
              <w:top w:val="nil"/>
              <w:left w:val="nil"/>
              <w:bottom w:val="single" w:sz="4" w:space="0" w:color="auto"/>
              <w:right w:val="single" w:sz="4" w:space="0" w:color="auto"/>
            </w:tcBorders>
            <w:shd w:val="clear" w:color="auto" w:fill="auto"/>
            <w:noWrap/>
            <w:vAlign w:val="bottom"/>
            <w:hideMark/>
          </w:tcPr>
          <w:p w14:paraId="0FB74914"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22.25%</w:t>
            </w:r>
          </w:p>
        </w:tc>
        <w:tc>
          <w:tcPr>
            <w:tcW w:w="980" w:type="dxa"/>
            <w:tcBorders>
              <w:top w:val="nil"/>
              <w:left w:val="nil"/>
              <w:bottom w:val="single" w:sz="4" w:space="0" w:color="auto"/>
              <w:right w:val="single" w:sz="8" w:space="0" w:color="auto"/>
            </w:tcBorders>
            <w:shd w:val="clear" w:color="auto" w:fill="auto"/>
            <w:noWrap/>
            <w:vAlign w:val="bottom"/>
            <w:hideMark/>
          </w:tcPr>
          <w:p w14:paraId="057B3978"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22.50%</w:t>
            </w:r>
          </w:p>
        </w:tc>
      </w:tr>
      <w:tr w:rsidR="007B57F0" w:rsidRPr="007B57F0" w14:paraId="0FB21AC1"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50D01A8A" w14:textId="6FD33E28" w:rsidR="007B57F0" w:rsidRPr="007B57F0" w:rsidRDefault="37C3723E" w:rsidP="007B57F0">
            <w:pPr>
              <w:spacing w:line="240" w:lineRule="auto"/>
              <w:jc w:val="left"/>
              <w:rPr>
                <w:rFonts w:ascii="Calibri" w:hAnsi="Calibri" w:cs="Calibri"/>
                <w:color w:val="000000"/>
                <w:sz w:val="22"/>
                <w:szCs w:val="22"/>
              </w:rPr>
            </w:pPr>
            <w:r w:rsidRPr="21F6B429">
              <w:rPr>
                <w:rFonts w:ascii="Calibri" w:hAnsi="Calibri" w:cs="Calibri"/>
                <w:color w:val="000000" w:themeColor="text1"/>
                <w:sz w:val="22"/>
                <w:szCs w:val="22"/>
              </w:rPr>
              <w:t>C’</w:t>
            </w:r>
          </w:p>
        </w:tc>
        <w:tc>
          <w:tcPr>
            <w:tcW w:w="980" w:type="dxa"/>
            <w:tcBorders>
              <w:top w:val="nil"/>
              <w:left w:val="nil"/>
              <w:bottom w:val="single" w:sz="4" w:space="0" w:color="auto"/>
              <w:right w:val="single" w:sz="4" w:space="0" w:color="auto"/>
            </w:tcBorders>
            <w:shd w:val="clear" w:color="auto" w:fill="auto"/>
            <w:noWrap/>
            <w:vAlign w:val="bottom"/>
            <w:hideMark/>
          </w:tcPr>
          <w:p w14:paraId="5A96F6F9"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23.50%</w:t>
            </w:r>
          </w:p>
        </w:tc>
        <w:tc>
          <w:tcPr>
            <w:tcW w:w="980" w:type="dxa"/>
            <w:tcBorders>
              <w:top w:val="nil"/>
              <w:left w:val="nil"/>
              <w:bottom w:val="single" w:sz="4" w:space="0" w:color="auto"/>
              <w:right w:val="single" w:sz="8" w:space="0" w:color="auto"/>
            </w:tcBorders>
            <w:shd w:val="clear" w:color="auto" w:fill="auto"/>
            <w:noWrap/>
            <w:vAlign w:val="bottom"/>
            <w:hideMark/>
          </w:tcPr>
          <w:p w14:paraId="6C8D9C4D"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30.25%</w:t>
            </w:r>
          </w:p>
        </w:tc>
      </w:tr>
      <w:tr w:rsidR="007B57F0" w:rsidRPr="007B57F0" w14:paraId="42170B96"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3EB91D6E" w14:textId="16048616" w:rsidR="007B57F0" w:rsidRPr="007B57F0" w:rsidRDefault="51B52FC3" w:rsidP="007B57F0">
            <w:pPr>
              <w:spacing w:line="240" w:lineRule="auto"/>
              <w:jc w:val="left"/>
              <w:rPr>
                <w:rFonts w:ascii="Calibri" w:hAnsi="Calibri" w:cs="Calibri"/>
                <w:color w:val="000000"/>
                <w:sz w:val="22"/>
                <w:szCs w:val="22"/>
              </w:rPr>
            </w:pPr>
            <w:r w:rsidRPr="21F6B429">
              <w:rPr>
                <w:rFonts w:ascii="Calibri" w:hAnsi="Calibri" w:cs="Calibri"/>
                <w:color w:val="000000" w:themeColor="text1"/>
                <w:sz w:val="22"/>
                <w:szCs w:val="22"/>
              </w:rPr>
              <w:t>C’’</w:t>
            </w:r>
          </w:p>
        </w:tc>
        <w:tc>
          <w:tcPr>
            <w:tcW w:w="980" w:type="dxa"/>
            <w:tcBorders>
              <w:top w:val="nil"/>
              <w:left w:val="nil"/>
              <w:bottom w:val="single" w:sz="4" w:space="0" w:color="auto"/>
              <w:right w:val="single" w:sz="4" w:space="0" w:color="auto"/>
            </w:tcBorders>
            <w:shd w:val="clear" w:color="auto" w:fill="auto"/>
            <w:noWrap/>
            <w:vAlign w:val="bottom"/>
            <w:hideMark/>
          </w:tcPr>
          <w:p w14:paraId="5EAACB18"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22.50%</w:t>
            </w:r>
          </w:p>
        </w:tc>
        <w:tc>
          <w:tcPr>
            <w:tcW w:w="980" w:type="dxa"/>
            <w:tcBorders>
              <w:top w:val="nil"/>
              <w:left w:val="nil"/>
              <w:bottom w:val="single" w:sz="4" w:space="0" w:color="auto"/>
              <w:right w:val="single" w:sz="8" w:space="0" w:color="auto"/>
            </w:tcBorders>
            <w:shd w:val="clear" w:color="auto" w:fill="auto"/>
            <w:noWrap/>
            <w:vAlign w:val="bottom"/>
            <w:hideMark/>
          </w:tcPr>
          <w:p w14:paraId="593E3228"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25.25%</w:t>
            </w:r>
          </w:p>
        </w:tc>
      </w:tr>
      <w:tr w:rsidR="007B57F0" w:rsidRPr="007B57F0" w14:paraId="69B8F1A4"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09245848" w14:textId="4698AFB7" w:rsidR="007B57F0" w:rsidRPr="007B57F0" w:rsidRDefault="4CB9FBF1" w:rsidP="007B57F0">
            <w:pPr>
              <w:spacing w:line="240" w:lineRule="auto"/>
              <w:jc w:val="left"/>
              <w:rPr>
                <w:rFonts w:ascii="Calibri" w:hAnsi="Calibri" w:cs="Calibri"/>
                <w:color w:val="000000"/>
                <w:sz w:val="22"/>
                <w:szCs w:val="22"/>
              </w:rPr>
            </w:pPr>
            <w:r w:rsidRPr="21F6B429">
              <w:rPr>
                <w:rFonts w:ascii="Calibri" w:hAnsi="Calibri" w:cs="Calibri"/>
                <w:color w:val="000000" w:themeColor="text1"/>
                <w:sz w:val="22"/>
                <w:szCs w:val="22"/>
              </w:rPr>
              <w:t>D</w:t>
            </w:r>
          </w:p>
        </w:tc>
        <w:tc>
          <w:tcPr>
            <w:tcW w:w="980" w:type="dxa"/>
            <w:tcBorders>
              <w:top w:val="nil"/>
              <w:left w:val="nil"/>
              <w:bottom w:val="single" w:sz="4" w:space="0" w:color="auto"/>
              <w:right w:val="single" w:sz="4" w:space="0" w:color="auto"/>
            </w:tcBorders>
            <w:shd w:val="clear" w:color="auto" w:fill="auto"/>
            <w:noWrap/>
            <w:vAlign w:val="bottom"/>
            <w:hideMark/>
          </w:tcPr>
          <w:p w14:paraId="525B6D04"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22.75%</w:t>
            </w:r>
          </w:p>
        </w:tc>
        <w:tc>
          <w:tcPr>
            <w:tcW w:w="980" w:type="dxa"/>
            <w:tcBorders>
              <w:top w:val="nil"/>
              <w:left w:val="nil"/>
              <w:bottom w:val="single" w:sz="4" w:space="0" w:color="auto"/>
              <w:right w:val="single" w:sz="8" w:space="0" w:color="auto"/>
            </w:tcBorders>
            <w:shd w:val="clear" w:color="auto" w:fill="auto"/>
            <w:noWrap/>
            <w:vAlign w:val="bottom"/>
            <w:hideMark/>
          </w:tcPr>
          <w:p w14:paraId="18720866"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25.75%</w:t>
            </w:r>
          </w:p>
        </w:tc>
      </w:tr>
      <w:tr w:rsidR="007B57F0" w:rsidRPr="007B57F0" w14:paraId="712CD34D"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771B1071" w14:textId="6A99E262" w:rsidR="007B57F0" w:rsidRPr="007B57F0" w:rsidRDefault="4CB9FBF1" w:rsidP="007B57F0">
            <w:pPr>
              <w:spacing w:line="240" w:lineRule="auto"/>
              <w:jc w:val="left"/>
              <w:rPr>
                <w:rFonts w:ascii="Calibri" w:hAnsi="Calibri" w:cs="Calibri"/>
                <w:color w:val="000000"/>
                <w:sz w:val="22"/>
                <w:szCs w:val="22"/>
              </w:rPr>
            </w:pPr>
            <w:r w:rsidRPr="21F6B429">
              <w:rPr>
                <w:rFonts w:ascii="Calibri" w:hAnsi="Calibri" w:cs="Calibri"/>
                <w:color w:val="000000" w:themeColor="text1"/>
                <w:sz w:val="22"/>
                <w:szCs w:val="22"/>
              </w:rPr>
              <w:t>E</w:t>
            </w:r>
          </w:p>
        </w:tc>
        <w:tc>
          <w:tcPr>
            <w:tcW w:w="980" w:type="dxa"/>
            <w:tcBorders>
              <w:top w:val="nil"/>
              <w:left w:val="nil"/>
              <w:bottom w:val="single" w:sz="4" w:space="0" w:color="auto"/>
              <w:right w:val="single" w:sz="4" w:space="0" w:color="auto"/>
            </w:tcBorders>
            <w:shd w:val="clear" w:color="auto" w:fill="auto"/>
            <w:noWrap/>
            <w:vAlign w:val="bottom"/>
            <w:hideMark/>
          </w:tcPr>
          <w:p w14:paraId="6452C685"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22.50%</w:t>
            </w:r>
          </w:p>
        </w:tc>
        <w:tc>
          <w:tcPr>
            <w:tcW w:w="980" w:type="dxa"/>
            <w:tcBorders>
              <w:top w:val="nil"/>
              <w:left w:val="nil"/>
              <w:bottom w:val="single" w:sz="4" w:space="0" w:color="auto"/>
              <w:right w:val="single" w:sz="8" w:space="0" w:color="auto"/>
            </w:tcBorders>
            <w:shd w:val="clear" w:color="auto" w:fill="auto"/>
            <w:noWrap/>
            <w:vAlign w:val="bottom"/>
            <w:hideMark/>
          </w:tcPr>
          <w:p w14:paraId="5696C5BD"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24.50%</w:t>
            </w:r>
          </w:p>
        </w:tc>
      </w:tr>
      <w:tr w:rsidR="007B57F0" w:rsidRPr="007B57F0" w14:paraId="6D34BE77"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5FB32389" w14:textId="2C8EC0D0" w:rsidR="007B57F0" w:rsidRPr="007B57F0" w:rsidRDefault="19F7DA97" w:rsidP="007B57F0">
            <w:pPr>
              <w:spacing w:line="240" w:lineRule="auto"/>
              <w:jc w:val="left"/>
              <w:rPr>
                <w:rFonts w:ascii="Calibri" w:hAnsi="Calibri" w:cs="Calibri"/>
                <w:color w:val="000000"/>
                <w:sz w:val="22"/>
                <w:szCs w:val="22"/>
              </w:rPr>
            </w:pPr>
            <w:r w:rsidRPr="21F6B429">
              <w:rPr>
                <w:rFonts w:ascii="Calibri" w:hAnsi="Calibri" w:cs="Calibri"/>
                <w:color w:val="000000" w:themeColor="text1"/>
                <w:sz w:val="22"/>
                <w:szCs w:val="22"/>
              </w:rPr>
              <w:t>F</w:t>
            </w:r>
          </w:p>
        </w:tc>
        <w:tc>
          <w:tcPr>
            <w:tcW w:w="980" w:type="dxa"/>
            <w:tcBorders>
              <w:top w:val="nil"/>
              <w:left w:val="nil"/>
              <w:bottom w:val="single" w:sz="4" w:space="0" w:color="auto"/>
              <w:right w:val="single" w:sz="4" w:space="0" w:color="auto"/>
            </w:tcBorders>
            <w:shd w:val="clear" w:color="auto" w:fill="auto"/>
            <w:noWrap/>
            <w:vAlign w:val="bottom"/>
            <w:hideMark/>
          </w:tcPr>
          <w:p w14:paraId="766734A1"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23.75%</w:t>
            </w:r>
          </w:p>
        </w:tc>
        <w:tc>
          <w:tcPr>
            <w:tcW w:w="980" w:type="dxa"/>
            <w:tcBorders>
              <w:top w:val="nil"/>
              <w:left w:val="nil"/>
              <w:bottom w:val="single" w:sz="4" w:space="0" w:color="auto"/>
              <w:right w:val="single" w:sz="8" w:space="0" w:color="auto"/>
            </w:tcBorders>
            <w:shd w:val="clear" w:color="auto" w:fill="auto"/>
            <w:noWrap/>
            <w:vAlign w:val="bottom"/>
            <w:hideMark/>
          </w:tcPr>
          <w:p w14:paraId="705AF9F9"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27.25%</w:t>
            </w:r>
          </w:p>
        </w:tc>
      </w:tr>
      <w:tr w:rsidR="007B57F0" w:rsidRPr="007B57F0" w14:paraId="5AD2A37D"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1B7BC28F" w14:textId="7B87C506" w:rsidR="007B57F0" w:rsidRPr="007B57F0" w:rsidRDefault="55B28A54" w:rsidP="007B57F0">
            <w:pPr>
              <w:spacing w:line="240" w:lineRule="auto"/>
              <w:jc w:val="left"/>
              <w:rPr>
                <w:rFonts w:ascii="Calibri" w:hAnsi="Calibri" w:cs="Calibri"/>
                <w:color w:val="000000"/>
                <w:sz w:val="22"/>
                <w:szCs w:val="22"/>
              </w:rPr>
            </w:pPr>
            <w:r w:rsidRPr="21F6B429">
              <w:rPr>
                <w:rFonts w:ascii="Calibri" w:hAnsi="Calibri" w:cs="Calibri"/>
                <w:color w:val="000000" w:themeColor="text1"/>
                <w:sz w:val="22"/>
                <w:szCs w:val="22"/>
              </w:rPr>
              <w:t>G</w:t>
            </w:r>
          </w:p>
        </w:tc>
        <w:tc>
          <w:tcPr>
            <w:tcW w:w="980" w:type="dxa"/>
            <w:tcBorders>
              <w:top w:val="nil"/>
              <w:left w:val="nil"/>
              <w:bottom w:val="single" w:sz="4" w:space="0" w:color="auto"/>
              <w:right w:val="single" w:sz="4" w:space="0" w:color="auto"/>
            </w:tcBorders>
            <w:shd w:val="clear" w:color="auto" w:fill="auto"/>
            <w:noWrap/>
            <w:vAlign w:val="bottom"/>
            <w:hideMark/>
          </w:tcPr>
          <w:p w14:paraId="75E3AE01"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21.25%</w:t>
            </w:r>
          </w:p>
        </w:tc>
        <w:tc>
          <w:tcPr>
            <w:tcW w:w="980" w:type="dxa"/>
            <w:tcBorders>
              <w:top w:val="nil"/>
              <w:left w:val="nil"/>
              <w:bottom w:val="single" w:sz="4" w:space="0" w:color="auto"/>
              <w:right w:val="single" w:sz="8" w:space="0" w:color="auto"/>
            </w:tcBorders>
            <w:shd w:val="clear" w:color="auto" w:fill="auto"/>
            <w:noWrap/>
            <w:vAlign w:val="bottom"/>
            <w:hideMark/>
          </w:tcPr>
          <w:p w14:paraId="3A975633"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20.25%</w:t>
            </w:r>
          </w:p>
        </w:tc>
      </w:tr>
      <w:tr w:rsidR="007B57F0" w:rsidRPr="007B57F0" w14:paraId="02529AF0" w14:textId="77777777" w:rsidTr="007B57F0">
        <w:trPr>
          <w:trHeight w:val="300"/>
        </w:trPr>
        <w:tc>
          <w:tcPr>
            <w:tcW w:w="1240" w:type="dxa"/>
            <w:tcBorders>
              <w:top w:val="nil"/>
              <w:left w:val="single" w:sz="8" w:space="0" w:color="auto"/>
              <w:bottom w:val="single" w:sz="4" w:space="0" w:color="auto"/>
              <w:right w:val="single" w:sz="4" w:space="0" w:color="auto"/>
            </w:tcBorders>
            <w:shd w:val="clear" w:color="auto" w:fill="auto"/>
            <w:noWrap/>
            <w:vAlign w:val="bottom"/>
            <w:hideMark/>
          </w:tcPr>
          <w:p w14:paraId="5DD6DEC1" w14:textId="229E72BD" w:rsidR="007B57F0" w:rsidRPr="007B57F0" w:rsidRDefault="1B15252C" w:rsidP="007B57F0">
            <w:pPr>
              <w:spacing w:line="240" w:lineRule="auto"/>
              <w:jc w:val="left"/>
              <w:rPr>
                <w:rFonts w:ascii="Calibri" w:hAnsi="Calibri" w:cs="Calibri"/>
                <w:color w:val="000000"/>
                <w:sz w:val="22"/>
                <w:szCs w:val="22"/>
              </w:rPr>
            </w:pPr>
            <w:r w:rsidRPr="21F6B429">
              <w:rPr>
                <w:rFonts w:ascii="Calibri" w:hAnsi="Calibri" w:cs="Calibri"/>
                <w:color w:val="000000" w:themeColor="text1"/>
                <w:sz w:val="22"/>
                <w:szCs w:val="22"/>
              </w:rPr>
              <w:t>H</w:t>
            </w:r>
          </w:p>
        </w:tc>
        <w:tc>
          <w:tcPr>
            <w:tcW w:w="980" w:type="dxa"/>
            <w:tcBorders>
              <w:top w:val="nil"/>
              <w:left w:val="nil"/>
              <w:bottom w:val="single" w:sz="4" w:space="0" w:color="auto"/>
              <w:right w:val="single" w:sz="4" w:space="0" w:color="auto"/>
            </w:tcBorders>
            <w:shd w:val="clear" w:color="auto" w:fill="auto"/>
            <w:noWrap/>
            <w:vAlign w:val="bottom"/>
            <w:hideMark/>
          </w:tcPr>
          <w:p w14:paraId="172C84FB"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21.00%</w:t>
            </w:r>
          </w:p>
        </w:tc>
        <w:tc>
          <w:tcPr>
            <w:tcW w:w="980" w:type="dxa"/>
            <w:tcBorders>
              <w:top w:val="nil"/>
              <w:left w:val="nil"/>
              <w:bottom w:val="single" w:sz="4" w:space="0" w:color="auto"/>
              <w:right w:val="single" w:sz="8" w:space="0" w:color="auto"/>
            </w:tcBorders>
            <w:shd w:val="clear" w:color="auto" w:fill="auto"/>
            <w:noWrap/>
            <w:vAlign w:val="bottom"/>
            <w:hideMark/>
          </w:tcPr>
          <w:p w14:paraId="21F6561F"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27.50%</w:t>
            </w:r>
          </w:p>
        </w:tc>
      </w:tr>
      <w:tr w:rsidR="007B57F0" w:rsidRPr="007B57F0" w14:paraId="2528FEF6" w14:textId="77777777" w:rsidTr="007B57F0">
        <w:trPr>
          <w:trHeight w:val="315"/>
        </w:trPr>
        <w:tc>
          <w:tcPr>
            <w:tcW w:w="1240" w:type="dxa"/>
            <w:tcBorders>
              <w:top w:val="nil"/>
              <w:left w:val="single" w:sz="8" w:space="0" w:color="auto"/>
              <w:bottom w:val="single" w:sz="8" w:space="0" w:color="auto"/>
              <w:right w:val="single" w:sz="4" w:space="0" w:color="auto"/>
            </w:tcBorders>
            <w:shd w:val="clear" w:color="auto" w:fill="auto"/>
            <w:noWrap/>
            <w:vAlign w:val="bottom"/>
            <w:hideMark/>
          </w:tcPr>
          <w:p w14:paraId="360E9B17" w14:textId="33A4845E" w:rsidR="007B57F0" w:rsidRPr="007B57F0" w:rsidRDefault="6A85FA1C" w:rsidP="007B57F0">
            <w:pPr>
              <w:spacing w:line="240" w:lineRule="auto"/>
              <w:jc w:val="left"/>
              <w:rPr>
                <w:rFonts w:ascii="Calibri" w:hAnsi="Calibri" w:cs="Calibri"/>
                <w:color w:val="000000"/>
                <w:sz w:val="22"/>
                <w:szCs w:val="22"/>
              </w:rPr>
            </w:pPr>
            <w:r w:rsidRPr="21F6B429">
              <w:rPr>
                <w:rFonts w:ascii="Calibri" w:hAnsi="Calibri" w:cs="Calibri"/>
                <w:color w:val="000000" w:themeColor="text1"/>
                <w:sz w:val="22"/>
                <w:szCs w:val="22"/>
              </w:rPr>
              <w:t>I</w:t>
            </w:r>
          </w:p>
        </w:tc>
        <w:tc>
          <w:tcPr>
            <w:tcW w:w="980" w:type="dxa"/>
            <w:tcBorders>
              <w:top w:val="nil"/>
              <w:left w:val="nil"/>
              <w:bottom w:val="single" w:sz="8" w:space="0" w:color="auto"/>
              <w:right w:val="single" w:sz="4" w:space="0" w:color="auto"/>
            </w:tcBorders>
            <w:shd w:val="clear" w:color="auto" w:fill="auto"/>
            <w:noWrap/>
            <w:vAlign w:val="bottom"/>
            <w:hideMark/>
          </w:tcPr>
          <w:p w14:paraId="69609A25"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22.75%</w:t>
            </w:r>
          </w:p>
        </w:tc>
        <w:tc>
          <w:tcPr>
            <w:tcW w:w="980" w:type="dxa"/>
            <w:tcBorders>
              <w:top w:val="nil"/>
              <w:left w:val="nil"/>
              <w:bottom w:val="single" w:sz="8" w:space="0" w:color="auto"/>
              <w:right w:val="single" w:sz="8" w:space="0" w:color="auto"/>
            </w:tcBorders>
            <w:shd w:val="clear" w:color="auto" w:fill="auto"/>
            <w:noWrap/>
            <w:vAlign w:val="bottom"/>
            <w:hideMark/>
          </w:tcPr>
          <w:p w14:paraId="3A0677A6" w14:textId="77777777" w:rsidR="007B57F0" w:rsidRPr="007B57F0" w:rsidRDefault="007B57F0" w:rsidP="007B57F0">
            <w:pPr>
              <w:spacing w:line="240" w:lineRule="auto"/>
              <w:jc w:val="center"/>
              <w:rPr>
                <w:rFonts w:ascii="Calibri" w:hAnsi="Calibri" w:cs="Calibri"/>
                <w:color w:val="000000"/>
                <w:sz w:val="22"/>
                <w:szCs w:val="22"/>
              </w:rPr>
            </w:pPr>
            <w:r w:rsidRPr="007B57F0">
              <w:rPr>
                <w:rFonts w:ascii="Calibri" w:hAnsi="Calibri" w:cs="Calibri"/>
                <w:color w:val="000000"/>
                <w:sz w:val="22"/>
                <w:szCs w:val="22"/>
              </w:rPr>
              <w:t>27.50%</w:t>
            </w:r>
          </w:p>
        </w:tc>
      </w:tr>
    </w:tbl>
    <w:p w14:paraId="73498514" w14:textId="77777777" w:rsidR="00BA09C6" w:rsidRDefault="00BA09C6" w:rsidP="00BA09C6">
      <w:pPr>
        <w:rPr>
          <w:szCs w:val="24"/>
        </w:rPr>
      </w:pPr>
    </w:p>
    <w:p w14:paraId="2597D4B3" w14:textId="77777777" w:rsidR="007B57F0" w:rsidRDefault="007B57F0" w:rsidP="00BA09C6">
      <w:pPr>
        <w:rPr>
          <w:szCs w:val="24"/>
        </w:rPr>
      </w:pPr>
    </w:p>
    <w:p w14:paraId="367E5EA3" w14:textId="77777777" w:rsidR="003A51B7" w:rsidRDefault="003A51B7" w:rsidP="00BA09C6">
      <w:pPr>
        <w:rPr>
          <w:szCs w:val="24"/>
        </w:rPr>
      </w:pPr>
    </w:p>
    <w:p w14:paraId="329D6E42" w14:textId="77777777" w:rsidR="003A51B7" w:rsidRDefault="003A51B7" w:rsidP="00BA09C6">
      <w:pPr>
        <w:rPr>
          <w:szCs w:val="24"/>
        </w:rPr>
      </w:pPr>
    </w:p>
    <w:p w14:paraId="1FC3A102" w14:textId="77777777" w:rsidR="003A51B7" w:rsidRDefault="003A51B7" w:rsidP="00BA09C6">
      <w:pPr>
        <w:rPr>
          <w:szCs w:val="24"/>
        </w:rPr>
      </w:pPr>
    </w:p>
    <w:p w14:paraId="35EA0973" w14:textId="77777777" w:rsidR="003A51B7" w:rsidRDefault="003A51B7" w:rsidP="00BA09C6">
      <w:pPr>
        <w:rPr>
          <w:szCs w:val="24"/>
        </w:rPr>
      </w:pPr>
    </w:p>
    <w:p w14:paraId="60BAA44B" w14:textId="77777777" w:rsidR="003A51B7" w:rsidRDefault="003A51B7" w:rsidP="00BA09C6">
      <w:pPr>
        <w:rPr>
          <w:szCs w:val="24"/>
        </w:rPr>
      </w:pPr>
    </w:p>
    <w:p w14:paraId="7FD07A1B" w14:textId="77777777" w:rsidR="003A51B7" w:rsidRDefault="003A51B7" w:rsidP="00BA09C6">
      <w:pPr>
        <w:rPr>
          <w:szCs w:val="24"/>
        </w:rPr>
      </w:pPr>
    </w:p>
    <w:p w14:paraId="30CEB4A4" w14:textId="77777777" w:rsidR="003A51B7" w:rsidRDefault="003A51B7" w:rsidP="00BA09C6">
      <w:pPr>
        <w:rPr>
          <w:szCs w:val="24"/>
        </w:rPr>
      </w:pPr>
    </w:p>
    <w:p w14:paraId="28224A5A" w14:textId="77777777" w:rsidR="003A51B7" w:rsidRDefault="003A51B7" w:rsidP="00BA09C6">
      <w:pPr>
        <w:rPr>
          <w:szCs w:val="24"/>
        </w:rPr>
      </w:pPr>
    </w:p>
    <w:p w14:paraId="65D63A54" w14:textId="77777777" w:rsidR="003A51B7" w:rsidRDefault="003A51B7" w:rsidP="00BA09C6">
      <w:pPr>
        <w:rPr>
          <w:szCs w:val="24"/>
        </w:rPr>
      </w:pPr>
    </w:p>
    <w:p w14:paraId="20EAAAFB" w14:textId="77777777" w:rsidR="003A51B7" w:rsidRDefault="003A51B7" w:rsidP="00BA09C6">
      <w:pPr>
        <w:rPr>
          <w:szCs w:val="24"/>
        </w:rPr>
      </w:pPr>
    </w:p>
    <w:p w14:paraId="6B40A7D0" w14:textId="77777777" w:rsidR="003A51B7" w:rsidRDefault="003A51B7" w:rsidP="00BA09C6">
      <w:pPr>
        <w:rPr>
          <w:szCs w:val="24"/>
        </w:rPr>
      </w:pPr>
    </w:p>
    <w:p w14:paraId="66D56F85" w14:textId="77777777" w:rsidR="003A51B7" w:rsidRDefault="003A51B7" w:rsidP="00BA09C6">
      <w:pPr>
        <w:rPr>
          <w:szCs w:val="24"/>
        </w:rPr>
      </w:pPr>
    </w:p>
    <w:p w14:paraId="078F5B99" w14:textId="77777777" w:rsidR="003A51B7" w:rsidRDefault="003A51B7" w:rsidP="00BA09C6">
      <w:pPr>
        <w:rPr>
          <w:szCs w:val="24"/>
        </w:rPr>
      </w:pPr>
    </w:p>
    <w:p w14:paraId="46B496E0" w14:textId="77777777" w:rsidR="003A51B7" w:rsidRDefault="003A51B7" w:rsidP="00BA09C6">
      <w:pPr>
        <w:rPr>
          <w:szCs w:val="24"/>
        </w:rPr>
      </w:pPr>
    </w:p>
    <w:p w14:paraId="2FC6FF38" w14:textId="77777777" w:rsidR="003A51B7" w:rsidRDefault="003A51B7" w:rsidP="00BA09C6">
      <w:pPr>
        <w:rPr>
          <w:szCs w:val="24"/>
        </w:rPr>
      </w:pPr>
    </w:p>
    <w:p w14:paraId="796CEDC3" w14:textId="77777777" w:rsidR="003A51B7" w:rsidRDefault="003A51B7" w:rsidP="00BA09C6">
      <w:pPr>
        <w:rPr>
          <w:szCs w:val="24"/>
        </w:rPr>
      </w:pPr>
    </w:p>
    <w:p w14:paraId="3CB12F38" w14:textId="461AF8D5" w:rsidR="00697CE5" w:rsidRPr="00421157" w:rsidRDefault="00D449E7" w:rsidP="004B49A6">
      <w:pPr>
        <w:pStyle w:val="Heading2"/>
        <w:numPr>
          <w:ilvl w:val="0"/>
          <w:numId w:val="0"/>
        </w:numPr>
      </w:pPr>
      <w:bookmarkStart w:id="508" w:name="_Toc187234632"/>
      <w:r w:rsidRPr="004A4FD8">
        <w:t>Short</w:t>
      </w:r>
      <w:r w:rsidR="00C77603">
        <w:t>-</w:t>
      </w:r>
      <w:r w:rsidRPr="004A4FD8">
        <w:t xml:space="preserve">Term </w:t>
      </w:r>
      <w:r w:rsidR="00B41B1D">
        <w:t>Load forecast error</w:t>
      </w:r>
      <w:bookmarkEnd w:id="504"/>
      <w:bookmarkEnd w:id="505"/>
      <w:bookmarkEnd w:id="506"/>
      <w:bookmarkEnd w:id="507"/>
      <w:bookmarkEnd w:id="508"/>
    </w:p>
    <w:p w14:paraId="68733563" w14:textId="1BD79B03" w:rsidR="001246A9" w:rsidRPr="00372AC4" w:rsidRDefault="001246A9" w:rsidP="001246A9">
      <w:pPr>
        <w:rPr>
          <w:szCs w:val="24"/>
        </w:rPr>
      </w:pPr>
      <w:bookmarkStart w:id="509" w:name="_Toc342048376"/>
      <w:bookmarkStart w:id="510" w:name="_Toc342382662"/>
      <w:bookmarkStart w:id="511" w:name="_Toc343244541"/>
      <w:r w:rsidRPr="00372AC4">
        <w:rPr>
          <w:szCs w:val="24"/>
        </w:rPr>
        <w:t>In addition to the sensitivities related to the uncertainties above, a sensitivity was modeled to determine how the optimum reserve margin would change if the load forecast uncertainty was reduced to determine a short</w:t>
      </w:r>
      <w:r>
        <w:rPr>
          <w:szCs w:val="24"/>
        </w:rPr>
        <w:t>-</w:t>
      </w:r>
      <w:r w:rsidRPr="00372AC4">
        <w:rPr>
          <w:szCs w:val="24"/>
        </w:rPr>
        <w:t>term reserve margin target.</w:t>
      </w:r>
    </w:p>
    <w:p w14:paraId="49AC0CC8" w14:textId="77777777" w:rsidR="001246A9" w:rsidRDefault="001246A9" w:rsidP="00217F0E">
      <w:pPr>
        <w:rPr>
          <w:szCs w:val="24"/>
        </w:rPr>
      </w:pPr>
    </w:p>
    <w:p w14:paraId="746D3B27" w14:textId="53E87DF3" w:rsidR="00697CE5" w:rsidRDefault="00D04046" w:rsidP="00217F0E">
      <w:pPr>
        <w:rPr>
          <w:szCs w:val="24"/>
        </w:rPr>
      </w:pPr>
      <w:r>
        <w:rPr>
          <w:szCs w:val="24"/>
        </w:rPr>
        <w:t>For this sensitivity, s</w:t>
      </w:r>
      <w:r w:rsidRPr="00B138F0">
        <w:rPr>
          <w:szCs w:val="24"/>
        </w:rPr>
        <w:t>hort</w:t>
      </w:r>
      <w:r w:rsidR="00C77603">
        <w:rPr>
          <w:szCs w:val="24"/>
        </w:rPr>
        <w:t>-</w:t>
      </w:r>
      <w:r w:rsidR="00102825" w:rsidRPr="00B138F0">
        <w:rPr>
          <w:szCs w:val="24"/>
        </w:rPr>
        <w:t xml:space="preserve">term </w:t>
      </w:r>
      <w:r w:rsidR="00B41B1D">
        <w:rPr>
          <w:szCs w:val="24"/>
        </w:rPr>
        <w:t>load forecast error</w:t>
      </w:r>
      <w:r w:rsidR="00102825" w:rsidRPr="00B138F0">
        <w:rPr>
          <w:szCs w:val="24"/>
        </w:rPr>
        <w:t>s were used</w:t>
      </w:r>
      <w:r>
        <w:rPr>
          <w:szCs w:val="24"/>
        </w:rPr>
        <w:t>.</w:t>
      </w:r>
      <w:r w:rsidR="00102825" w:rsidRPr="00372AC4">
        <w:rPr>
          <w:szCs w:val="24"/>
        </w:rPr>
        <w:t xml:space="preserve"> Th</w:t>
      </w:r>
      <w:r>
        <w:rPr>
          <w:szCs w:val="24"/>
        </w:rPr>
        <w:t xml:space="preserve">is sensitivity resulted in </w:t>
      </w:r>
      <w:r w:rsidR="00102825" w:rsidRPr="00372AC4">
        <w:rPr>
          <w:szCs w:val="24"/>
        </w:rPr>
        <w:t>the</w:t>
      </w:r>
      <w:r>
        <w:rPr>
          <w:szCs w:val="24"/>
        </w:rPr>
        <w:t xml:space="preserve"> </w:t>
      </w:r>
      <w:r w:rsidR="004973B4">
        <w:rPr>
          <w:szCs w:val="24"/>
        </w:rPr>
        <w:t>Winter EORM</w:t>
      </w:r>
      <w:r w:rsidR="00102825" w:rsidRPr="00372AC4">
        <w:rPr>
          <w:szCs w:val="24"/>
        </w:rPr>
        <w:t xml:space="preserve"> </w:t>
      </w:r>
      <w:r w:rsidRPr="00372AC4">
        <w:rPr>
          <w:szCs w:val="24"/>
        </w:rPr>
        <w:t>decreas</w:t>
      </w:r>
      <w:r>
        <w:rPr>
          <w:szCs w:val="24"/>
        </w:rPr>
        <w:t>ing</w:t>
      </w:r>
      <w:r w:rsidRPr="00372AC4">
        <w:rPr>
          <w:szCs w:val="24"/>
        </w:rPr>
        <w:t xml:space="preserve"> </w:t>
      </w:r>
      <w:r w:rsidR="00102825" w:rsidRPr="00372AC4">
        <w:rPr>
          <w:szCs w:val="24"/>
        </w:rPr>
        <w:t xml:space="preserve">from </w:t>
      </w:r>
      <w:r>
        <w:rPr>
          <w:szCs w:val="24"/>
        </w:rPr>
        <w:t>2</w:t>
      </w:r>
      <w:r w:rsidR="001D622B">
        <w:rPr>
          <w:szCs w:val="24"/>
        </w:rPr>
        <w:t>2</w:t>
      </w:r>
      <w:r w:rsidR="00A70B22">
        <w:rPr>
          <w:szCs w:val="24"/>
        </w:rPr>
        <w:t>.</w:t>
      </w:r>
      <w:r w:rsidR="001D622B">
        <w:rPr>
          <w:szCs w:val="24"/>
        </w:rPr>
        <w:t>75</w:t>
      </w:r>
      <w:r w:rsidR="00102825" w:rsidRPr="009E6EC1">
        <w:rPr>
          <w:szCs w:val="24"/>
        </w:rPr>
        <w:t xml:space="preserve">% to </w:t>
      </w:r>
      <w:r>
        <w:rPr>
          <w:szCs w:val="24"/>
        </w:rPr>
        <w:t>2</w:t>
      </w:r>
      <w:r w:rsidR="001D622B">
        <w:rPr>
          <w:szCs w:val="24"/>
        </w:rPr>
        <w:t>2.25</w:t>
      </w:r>
      <w:r w:rsidR="00102825" w:rsidRPr="00372AC4">
        <w:rPr>
          <w:szCs w:val="24"/>
        </w:rPr>
        <w:t>%</w:t>
      </w:r>
      <w:r w:rsidR="00D03593">
        <w:rPr>
          <w:szCs w:val="24"/>
        </w:rPr>
        <w:t>, reflecting a difference in long-term and short-term reserve margins of 0.5%</w:t>
      </w:r>
      <w:r w:rsidR="00102825" w:rsidRPr="00372AC4">
        <w:rPr>
          <w:szCs w:val="24"/>
        </w:rPr>
        <w:t>. The short</w:t>
      </w:r>
      <w:r w:rsidR="00C77603">
        <w:rPr>
          <w:szCs w:val="24"/>
        </w:rPr>
        <w:t>-</w:t>
      </w:r>
      <w:r w:rsidR="00102825" w:rsidRPr="00372AC4">
        <w:rPr>
          <w:szCs w:val="24"/>
        </w:rPr>
        <w:t xml:space="preserve">term </w:t>
      </w:r>
      <w:r w:rsidR="00B41B1D">
        <w:rPr>
          <w:szCs w:val="24"/>
        </w:rPr>
        <w:t>load forecast error</w:t>
      </w:r>
      <w:r w:rsidR="00102825" w:rsidRPr="00372AC4">
        <w:rPr>
          <w:szCs w:val="24"/>
        </w:rPr>
        <w:t xml:space="preserve">s used are in the </w:t>
      </w:r>
      <w:r w:rsidR="00777051">
        <w:rPr>
          <w:szCs w:val="24"/>
        </w:rPr>
        <w:t xml:space="preserve">following </w:t>
      </w:r>
      <w:r w:rsidR="00102825" w:rsidRPr="00372AC4">
        <w:rPr>
          <w:szCs w:val="24"/>
        </w:rPr>
        <w:t>table.</w:t>
      </w:r>
      <w:bookmarkEnd w:id="509"/>
      <w:bookmarkEnd w:id="510"/>
      <w:bookmarkEnd w:id="511"/>
    </w:p>
    <w:p w14:paraId="1D832FC5" w14:textId="77777777" w:rsidR="00590A30" w:rsidRDefault="00590A30" w:rsidP="00217F0E">
      <w:pPr>
        <w:rPr>
          <w:szCs w:val="24"/>
        </w:rPr>
      </w:pPr>
    </w:p>
    <w:p w14:paraId="081B5C56" w14:textId="08D9528C" w:rsidR="00922797" w:rsidRDefault="00922797" w:rsidP="00922797">
      <w:pPr>
        <w:pStyle w:val="Caption"/>
        <w:keepNext/>
      </w:pPr>
      <w:bookmarkStart w:id="512" w:name="_Toc187234654"/>
      <w:r>
        <w:t xml:space="preserve">Table </w:t>
      </w:r>
      <w:r w:rsidR="00161C58">
        <w:fldChar w:fldCharType="begin"/>
      </w:r>
      <w:r w:rsidR="00161C58">
        <w:instrText xml:space="preserve"> STYLEREF 1 \s </w:instrText>
      </w:r>
      <w:r w:rsidR="00161C58">
        <w:fldChar w:fldCharType="separate"/>
      </w:r>
      <w:r w:rsidR="00161C58">
        <w:rPr>
          <w:noProof/>
        </w:rPr>
        <w:t>IV</w:t>
      </w:r>
      <w:r w:rsidR="00161C58">
        <w:rPr>
          <w:noProof/>
        </w:rPr>
        <w:fldChar w:fldCharType="end"/>
      </w:r>
      <w:r>
        <w:noBreakHyphen/>
      </w:r>
      <w:r w:rsidR="00161C58">
        <w:fldChar w:fldCharType="begin"/>
      </w:r>
      <w:r w:rsidR="00161C58">
        <w:instrText xml:space="preserve"> SEQ Table \* ARABIC \s 1 </w:instrText>
      </w:r>
      <w:r w:rsidR="00161C58">
        <w:fldChar w:fldCharType="separate"/>
      </w:r>
      <w:r w:rsidR="00161C58">
        <w:rPr>
          <w:noProof/>
        </w:rPr>
        <w:t>2</w:t>
      </w:r>
      <w:r w:rsidR="00161C58">
        <w:rPr>
          <w:noProof/>
        </w:rPr>
        <w:fldChar w:fldCharType="end"/>
      </w:r>
      <w:bookmarkStart w:id="513" w:name="_Toc513710545"/>
      <w:r>
        <w:t>:</w:t>
      </w:r>
      <w:r w:rsidRPr="00922797">
        <w:t xml:space="preserve"> </w:t>
      </w:r>
      <w:r w:rsidRPr="00C25C35">
        <w:t xml:space="preserve">Short-Term </w:t>
      </w:r>
      <w:r w:rsidR="00B41B1D">
        <w:t>Load forecast error</w:t>
      </w:r>
      <w:bookmarkEnd w:id="512"/>
      <w:bookmarkEnd w:id="513"/>
    </w:p>
    <w:tbl>
      <w:tblPr>
        <w:tblW w:w="42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3"/>
        <w:gridCol w:w="2821"/>
      </w:tblGrid>
      <w:tr w:rsidR="00D67C60" w:rsidRPr="0078271A" w14:paraId="31E62896" w14:textId="77777777" w:rsidTr="00DB641B">
        <w:trPr>
          <w:trHeight w:val="300"/>
          <w:jc w:val="center"/>
        </w:trPr>
        <w:tc>
          <w:tcPr>
            <w:tcW w:w="4204" w:type="dxa"/>
            <w:gridSpan w:val="2"/>
            <w:shd w:val="clear" w:color="auto" w:fill="auto"/>
            <w:noWrap/>
            <w:vAlign w:val="center"/>
            <w:hideMark/>
          </w:tcPr>
          <w:p w14:paraId="57D56DE7" w14:textId="554CC40C" w:rsidR="00D67C60" w:rsidRPr="0078271A" w:rsidRDefault="006471BF" w:rsidP="00DB641B">
            <w:pPr>
              <w:keepNext/>
              <w:keepLines/>
              <w:spacing w:line="240" w:lineRule="auto"/>
              <w:jc w:val="left"/>
              <w:rPr>
                <w:rFonts w:cs="Arial"/>
                <w:b/>
                <w:sz w:val="20"/>
                <w:szCs w:val="16"/>
              </w:rPr>
            </w:pPr>
            <w:r w:rsidRPr="0078271A">
              <w:rPr>
                <w:rFonts w:cs="Arial"/>
                <w:b/>
                <w:sz w:val="20"/>
                <w:szCs w:val="16"/>
              </w:rPr>
              <w:t>SHORT</w:t>
            </w:r>
            <w:r w:rsidR="00C77603" w:rsidRPr="0078271A">
              <w:rPr>
                <w:rFonts w:cs="Arial"/>
                <w:b/>
                <w:sz w:val="20"/>
                <w:szCs w:val="16"/>
              </w:rPr>
              <w:t>-</w:t>
            </w:r>
            <w:r w:rsidRPr="0078271A">
              <w:rPr>
                <w:rFonts w:cs="Arial"/>
                <w:b/>
                <w:sz w:val="20"/>
                <w:szCs w:val="16"/>
              </w:rPr>
              <w:t xml:space="preserve">TERM </w:t>
            </w:r>
            <w:r w:rsidR="00B41B1D">
              <w:rPr>
                <w:rFonts w:cs="Arial"/>
                <w:b/>
                <w:sz w:val="20"/>
                <w:szCs w:val="16"/>
              </w:rPr>
              <w:t>LOAD FORECAST ERROR</w:t>
            </w:r>
          </w:p>
        </w:tc>
      </w:tr>
      <w:tr w:rsidR="00D67C60" w:rsidRPr="0078271A" w14:paraId="0D74BFDF" w14:textId="77777777" w:rsidTr="00DB641B">
        <w:trPr>
          <w:trHeight w:val="300"/>
          <w:jc w:val="center"/>
        </w:trPr>
        <w:tc>
          <w:tcPr>
            <w:tcW w:w="1383" w:type="dxa"/>
            <w:shd w:val="clear" w:color="auto" w:fill="auto"/>
            <w:noWrap/>
            <w:vAlign w:val="center"/>
            <w:hideMark/>
          </w:tcPr>
          <w:p w14:paraId="65AFCB05" w14:textId="77777777" w:rsidR="00D67C60" w:rsidRPr="0078271A" w:rsidRDefault="00102825" w:rsidP="00DB641B">
            <w:pPr>
              <w:keepNext/>
              <w:keepLines/>
              <w:spacing w:line="240" w:lineRule="auto"/>
              <w:jc w:val="center"/>
              <w:rPr>
                <w:rFonts w:cs="Arial"/>
                <w:b/>
                <w:sz w:val="20"/>
                <w:szCs w:val="16"/>
              </w:rPr>
            </w:pPr>
            <w:r w:rsidRPr="0078271A">
              <w:rPr>
                <w:rFonts w:cs="Arial"/>
                <w:b/>
                <w:sz w:val="20"/>
                <w:szCs w:val="16"/>
              </w:rPr>
              <w:t>LFE</w:t>
            </w:r>
          </w:p>
        </w:tc>
        <w:tc>
          <w:tcPr>
            <w:tcW w:w="2821" w:type="dxa"/>
            <w:shd w:val="clear" w:color="auto" w:fill="auto"/>
            <w:noWrap/>
            <w:vAlign w:val="center"/>
            <w:hideMark/>
          </w:tcPr>
          <w:p w14:paraId="240C786D" w14:textId="77777777" w:rsidR="00D67C60" w:rsidRPr="0078271A" w:rsidRDefault="00102825" w:rsidP="00DB641B">
            <w:pPr>
              <w:keepNext/>
              <w:keepLines/>
              <w:spacing w:line="240" w:lineRule="auto"/>
              <w:jc w:val="center"/>
              <w:rPr>
                <w:rFonts w:cs="Arial"/>
                <w:b/>
                <w:sz w:val="20"/>
                <w:szCs w:val="16"/>
              </w:rPr>
            </w:pPr>
            <w:r w:rsidRPr="0078271A">
              <w:rPr>
                <w:rFonts w:cs="Arial"/>
                <w:b/>
                <w:sz w:val="20"/>
                <w:szCs w:val="16"/>
              </w:rPr>
              <w:t>Probability</w:t>
            </w:r>
          </w:p>
        </w:tc>
      </w:tr>
      <w:tr w:rsidR="00D67C60" w:rsidRPr="0078271A" w14:paraId="2978FC4F" w14:textId="77777777" w:rsidTr="00DB641B">
        <w:trPr>
          <w:trHeight w:val="300"/>
          <w:jc w:val="center"/>
        </w:trPr>
        <w:tc>
          <w:tcPr>
            <w:tcW w:w="1383" w:type="dxa"/>
            <w:shd w:val="clear" w:color="auto" w:fill="auto"/>
            <w:noWrap/>
            <w:vAlign w:val="center"/>
            <w:hideMark/>
          </w:tcPr>
          <w:p w14:paraId="52F1926C" w14:textId="13E5A84E" w:rsidR="00697CE5" w:rsidRPr="0078271A" w:rsidRDefault="007B57F0" w:rsidP="00DB641B">
            <w:pPr>
              <w:keepNext/>
              <w:keepLines/>
              <w:spacing w:line="240" w:lineRule="auto"/>
              <w:jc w:val="center"/>
              <w:rPr>
                <w:rFonts w:cs="Arial"/>
                <w:sz w:val="20"/>
                <w:szCs w:val="16"/>
              </w:rPr>
            </w:pPr>
            <w:r>
              <w:rPr>
                <w:rFonts w:cs="Arial"/>
                <w:sz w:val="20"/>
                <w:szCs w:val="16"/>
              </w:rPr>
              <w:t>-</w:t>
            </w:r>
            <w:r w:rsidR="001D622B">
              <w:rPr>
                <w:rFonts w:cs="Arial"/>
                <w:sz w:val="20"/>
                <w:szCs w:val="16"/>
              </w:rPr>
              <w:t>5.42</w:t>
            </w:r>
            <w:r w:rsidR="00D67C60" w:rsidRPr="0078271A">
              <w:rPr>
                <w:rFonts w:cs="Arial"/>
                <w:sz w:val="20"/>
                <w:szCs w:val="16"/>
              </w:rPr>
              <w:t>%</w:t>
            </w:r>
          </w:p>
        </w:tc>
        <w:tc>
          <w:tcPr>
            <w:tcW w:w="2821" w:type="dxa"/>
            <w:shd w:val="clear" w:color="auto" w:fill="auto"/>
            <w:noWrap/>
            <w:vAlign w:val="center"/>
            <w:hideMark/>
          </w:tcPr>
          <w:p w14:paraId="188B0CDB" w14:textId="7E384011" w:rsidR="00D67C60" w:rsidRPr="0078271A" w:rsidRDefault="009454C0" w:rsidP="00DB641B">
            <w:pPr>
              <w:keepNext/>
              <w:keepLines/>
              <w:spacing w:line="240" w:lineRule="auto"/>
              <w:jc w:val="center"/>
              <w:rPr>
                <w:rFonts w:cs="Arial"/>
                <w:sz w:val="20"/>
                <w:szCs w:val="16"/>
              </w:rPr>
            </w:pPr>
            <w:r w:rsidRPr="0078271A">
              <w:rPr>
                <w:rFonts w:cs="Arial"/>
                <w:sz w:val="20"/>
                <w:szCs w:val="16"/>
              </w:rPr>
              <w:t>0.</w:t>
            </w:r>
            <w:r w:rsidR="001D622B">
              <w:rPr>
                <w:rFonts w:cs="Arial"/>
                <w:sz w:val="20"/>
                <w:szCs w:val="16"/>
              </w:rPr>
              <w:t>111</w:t>
            </w:r>
          </w:p>
        </w:tc>
      </w:tr>
      <w:tr w:rsidR="00D67C60" w:rsidRPr="0078271A" w14:paraId="2C45B296" w14:textId="77777777" w:rsidTr="00DB641B">
        <w:trPr>
          <w:trHeight w:val="300"/>
          <w:jc w:val="center"/>
        </w:trPr>
        <w:tc>
          <w:tcPr>
            <w:tcW w:w="1383" w:type="dxa"/>
            <w:shd w:val="clear" w:color="auto" w:fill="auto"/>
            <w:noWrap/>
            <w:vAlign w:val="center"/>
            <w:hideMark/>
          </w:tcPr>
          <w:p w14:paraId="217438DE" w14:textId="7B0A1410" w:rsidR="00697CE5" w:rsidRPr="0078271A" w:rsidRDefault="007B57F0" w:rsidP="00DB641B">
            <w:pPr>
              <w:keepNext/>
              <w:keepLines/>
              <w:spacing w:line="240" w:lineRule="auto"/>
              <w:jc w:val="center"/>
              <w:rPr>
                <w:rFonts w:cs="Arial"/>
                <w:sz w:val="20"/>
                <w:szCs w:val="16"/>
              </w:rPr>
            </w:pPr>
            <w:r>
              <w:rPr>
                <w:rFonts w:cs="Arial"/>
                <w:sz w:val="20"/>
                <w:szCs w:val="16"/>
              </w:rPr>
              <w:t>-</w:t>
            </w:r>
            <w:r w:rsidR="001D622B">
              <w:rPr>
                <w:rFonts w:cs="Arial"/>
                <w:sz w:val="20"/>
                <w:szCs w:val="16"/>
              </w:rPr>
              <w:t>3.69</w:t>
            </w:r>
            <w:r w:rsidR="00D67C60" w:rsidRPr="0078271A">
              <w:rPr>
                <w:rFonts w:cs="Arial"/>
                <w:sz w:val="20"/>
                <w:szCs w:val="16"/>
              </w:rPr>
              <w:t>%</w:t>
            </w:r>
          </w:p>
        </w:tc>
        <w:tc>
          <w:tcPr>
            <w:tcW w:w="2821" w:type="dxa"/>
            <w:shd w:val="clear" w:color="auto" w:fill="auto"/>
            <w:noWrap/>
            <w:vAlign w:val="center"/>
            <w:hideMark/>
          </w:tcPr>
          <w:p w14:paraId="02B67225" w14:textId="0D57C11C" w:rsidR="00D67C60" w:rsidRPr="0078271A" w:rsidRDefault="00D67C60" w:rsidP="00DB641B">
            <w:pPr>
              <w:keepNext/>
              <w:keepLines/>
              <w:spacing w:line="240" w:lineRule="auto"/>
              <w:jc w:val="center"/>
              <w:rPr>
                <w:rFonts w:cs="Arial"/>
                <w:sz w:val="20"/>
                <w:szCs w:val="16"/>
              </w:rPr>
            </w:pPr>
            <w:r w:rsidRPr="0078271A">
              <w:rPr>
                <w:rFonts w:cs="Arial"/>
                <w:sz w:val="20"/>
                <w:szCs w:val="16"/>
              </w:rPr>
              <w:t>0.</w:t>
            </w:r>
            <w:r w:rsidR="00304EDD">
              <w:rPr>
                <w:rFonts w:cs="Arial"/>
                <w:sz w:val="20"/>
                <w:szCs w:val="16"/>
              </w:rPr>
              <w:t>22</w:t>
            </w:r>
            <w:r w:rsidR="001D622B">
              <w:rPr>
                <w:rFonts w:cs="Arial"/>
                <w:sz w:val="20"/>
                <w:szCs w:val="16"/>
              </w:rPr>
              <w:t>2</w:t>
            </w:r>
          </w:p>
        </w:tc>
      </w:tr>
      <w:tr w:rsidR="00D67C60" w:rsidRPr="0078271A" w14:paraId="0A1902A6" w14:textId="77777777" w:rsidTr="00DB641B">
        <w:trPr>
          <w:trHeight w:val="300"/>
          <w:jc w:val="center"/>
        </w:trPr>
        <w:tc>
          <w:tcPr>
            <w:tcW w:w="1383" w:type="dxa"/>
            <w:shd w:val="clear" w:color="auto" w:fill="auto"/>
            <w:noWrap/>
            <w:vAlign w:val="center"/>
            <w:hideMark/>
          </w:tcPr>
          <w:p w14:paraId="08E0E05E" w14:textId="74DACF96" w:rsidR="00697CE5" w:rsidRPr="0078271A" w:rsidRDefault="001D622B" w:rsidP="00DB641B">
            <w:pPr>
              <w:keepNext/>
              <w:keepLines/>
              <w:spacing w:line="240" w:lineRule="auto"/>
              <w:jc w:val="center"/>
              <w:rPr>
                <w:rFonts w:cs="Arial"/>
                <w:sz w:val="20"/>
                <w:szCs w:val="16"/>
              </w:rPr>
            </w:pPr>
            <w:r>
              <w:rPr>
                <w:rFonts w:cs="Arial"/>
                <w:sz w:val="20"/>
                <w:szCs w:val="16"/>
              </w:rPr>
              <w:t>-0.53</w:t>
            </w:r>
            <w:r w:rsidR="00D67C60" w:rsidRPr="0078271A">
              <w:rPr>
                <w:rFonts w:cs="Arial"/>
                <w:sz w:val="20"/>
                <w:szCs w:val="16"/>
              </w:rPr>
              <w:t>%</w:t>
            </w:r>
          </w:p>
        </w:tc>
        <w:tc>
          <w:tcPr>
            <w:tcW w:w="2821" w:type="dxa"/>
            <w:shd w:val="clear" w:color="auto" w:fill="auto"/>
            <w:noWrap/>
            <w:vAlign w:val="center"/>
            <w:hideMark/>
          </w:tcPr>
          <w:p w14:paraId="360C1F49" w14:textId="56E5582C" w:rsidR="00D67C60" w:rsidRPr="0078271A" w:rsidRDefault="00D67C60" w:rsidP="00DB641B">
            <w:pPr>
              <w:keepNext/>
              <w:keepLines/>
              <w:spacing w:line="240" w:lineRule="auto"/>
              <w:jc w:val="center"/>
              <w:rPr>
                <w:rFonts w:cs="Arial"/>
                <w:sz w:val="20"/>
                <w:szCs w:val="16"/>
              </w:rPr>
            </w:pPr>
            <w:r w:rsidRPr="0078271A">
              <w:rPr>
                <w:rFonts w:cs="Arial"/>
                <w:sz w:val="20"/>
                <w:szCs w:val="16"/>
              </w:rPr>
              <w:t>0.</w:t>
            </w:r>
            <w:r w:rsidR="001D622B">
              <w:rPr>
                <w:rFonts w:cs="Arial"/>
                <w:sz w:val="20"/>
                <w:szCs w:val="16"/>
              </w:rPr>
              <w:t>336</w:t>
            </w:r>
          </w:p>
        </w:tc>
      </w:tr>
      <w:tr w:rsidR="00D67C60" w:rsidRPr="0078271A" w14:paraId="164D918E" w14:textId="77777777" w:rsidTr="00DB641B">
        <w:trPr>
          <w:trHeight w:val="300"/>
          <w:jc w:val="center"/>
        </w:trPr>
        <w:tc>
          <w:tcPr>
            <w:tcW w:w="1383" w:type="dxa"/>
            <w:shd w:val="clear" w:color="auto" w:fill="auto"/>
            <w:noWrap/>
            <w:vAlign w:val="center"/>
            <w:hideMark/>
          </w:tcPr>
          <w:p w14:paraId="7C874695" w14:textId="24FC876E" w:rsidR="00697CE5" w:rsidRPr="0078271A" w:rsidRDefault="001D622B" w:rsidP="00DB641B">
            <w:pPr>
              <w:keepNext/>
              <w:keepLines/>
              <w:spacing w:line="240" w:lineRule="auto"/>
              <w:jc w:val="center"/>
              <w:rPr>
                <w:rFonts w:cs="Arial"/>
                <w:sz w:val="20"/>
                <w:szCs w:val="16"/>
              </w:rPr>
            </w:pPr>
            <w:r>
              <w:rPr>
                <w:rFonts w:cs="Arial"/>
                <w:sz w:val="20"/>
                <w:szCs w:val="16"/>
              </w:rPr>
              <w:t>2.90</w:t>
            </w:r>
            <w:r w:rsidR="00D67C60" w:rsidRPr="0078271A">
              <w:rPr>
                <w:rFonts w:cs="Arial"/>
                <w:sz w:val="20"/>
                <w:szCs w:val="16"/>
              </w:rPr>
              <w:t>%</w:t>
            </w:r>
          </w:p>
        </w:tc>
        <w:tc>
          <w:tcPr>
            <w:tcW w:w="2821" w:type="dxa"/>
            <w:shd w:val="clear" w:color="auto" w:fill="auto"/>
            <w:noWrap/>
            <w:vAlign w:val="center"/>
            <w:hideMark/>
          </w:tcPr>
          <w:p w14:paraId="6CABCFBE" w14:textId="475FC6B1" w:rsidR="00D67C60" w:rsidRPr="0078271A" w:rsidRDefault="00D67C60" w:rsidP="00DB641B">
            <w:pPr>
              <w:keepNext/>
              <w:keepLines/>
              <w:spacing w:line="240" w:lineRule="auto"/>
              <w:jc w:val="center"/>
              <w:rPr>
                <w:rFonts w:cs="Arial"/>
                <w:sz w:val="20"/>
                <w:szCs w:val="16"/>
              </w:rPr>
            </w:pPr>
            <w:r w:rsidRPr="0078271A">
              <w:rPr>
                <w:rFonts w:cs="Arial"/>
                <w:sz w:val="20"/>
                <w:szCs w:val="16"/>
              </w:rPr>
              <w:t>0.</w:t>
            </w:r>
            <w:r w:rsidR="00DF5336" w:rsidRPr="0078271A">
              <w:rPr>
                <w:rFonts w:cs="Arial"/>
                <w:sz w:val="20"/>
                <w:szCs w:val="16"/>
              </w:rPr>
              <w:t>2</w:t>
            </w:r>
            <w:r w:rsidR="00304EDD">
              <w:rPr>
                <w:rFonts w:cs="Arial"/>
                <w:sz w:val="20"/>
                <w:szCs w:val="16"/>
              </w:rPr>
              <w:t>2</w:t>
            </w:r>
            <w:r w:rsidR="001D622B">
              <w:rPr>
                <w:rFonts w:cs="Arial"/>
                <w:sz w:val="20"/>
                <w:szCs w:val="16"/>
              </w:rPr>
              <w:t>0</w:t>
            </w:r>
          </w:p>
        </w:tc>
      </w:tr>
      <w:tr w:rsidR="00D67C60" w:rsidRPr="0078271A" w14:paraId="7833CA70" w14:textId="77777777" w:rsidTr="00DB641B">
        <w:trPr>
          <w:trHeight w:val="300"/>
          <w:jc w:val="center"/>
        </w:trPr>
        <w:tc>
          <w:tcPr>
            <w:tcW w:w="1383" w:type="dxa"/>
            <w:shd w:val="clear" w:color="auto" w:fill="auto"/>
            <w:noWrap/>
            <w:vAlign w:val="center"/>
            <w:hideMark/>
          </w:tcPr>
          <w:p w14:paraId="38D5ACDC" w14:textId="1BDD320C" w:rsidR="00697CE5" w:rsidRPr="0078271A" w:rsidRDefault="001D622B" w:rsidP="00DB641B">
            <w:pPr>
              <w:keepNext/>
              <w:keepLines/>
              <w:spacing w:line="240" w:lineRule="auto"/>
              <w:jc w:val="center"/>
              <w:rPr>
                <w:rFonts w:cs="Arial"/>
                <w:sz w:val="20"/>
                <w:szCs w:val="16"/>
              </w:rPr>
            </w:pPr>
            <w:r>
              <w:rPr>
                <w:rFonts w:cs="Arial"/>
                <w:sz w:val="20"/>
                <w:szCs w:val="16"/>
              </w:rPr>
              <w:t>3.83</w:t>
            </w:r>
            <w:r w:rsidR="00D67C60" w:rsidRPr="0078271A">
              <w:rPr>
                <w:rFonts w:cs="Arial"/>
                <w:sz w:val="20"/>
                <w:szCs w:val="16"/>
              </w:rPr>
              <w:t>%</w:t>
            </w:r>
          </w:p>
        </w:tc>
        <w:tc>
          <w:tcPr>
            <w:tcW w:w="2821" w:type="dxa"/>
            <w:shd w:val="clear" w:color="auto" w:fill="auto"/>
            <w:noWrap/>
            <w:vAlign w:val="center"/>
            <w:hideMark/>
          </w:tcPr>
          <w:p w14:paraId="78553734" w14:textId="6FD50C27" w:rsidR="00D67C60" w:rsidRPr="0078271A" w:rsidRDefault="00D67C60" w:rsidP="00DB641B">
            <w:pPr>
              <w:keepNext/>
              <w:keepLines/>
              <w:spacing w:line="240" w:lineRule="auto"/>
              <w:jc w:val="center"/>
              <w:rPr>
                <w:rFonts w:cs="Arial"/>
                <w:sz w:val="20"/>
                <w:szCs w:val="16"/>
              </w:rPr>
            </w:pPr>
            <w:r w:rsidRPr="0078271A">
              <w:rPr>
                <w:rFonts w:cs="Arial"/>
                <w:sz w:val="20"/>
                <w:szCs w:val="16"/>
              </w:rPr>
              <w:t>0.</w:t>
            </w:r>
            <w:r w:rsidR="001D622B">
              <w:rPr>
                <w:rFonts w:cs="Arial"/>
                <w:sz w:val="20"/>
                <w:szCs w:val="16"/>
              </w:rPr>
              <w:t>111</w:t>
            </w:r>
          </w:p>
        </w:tc>
      </w:tr>
    </w:tbl>
    <w:p w14:paraId="185315A9" w14:textId="77A589BF" w:rsidR="00846EF2" w:rsidRDefault="00846EF2" w:rsidP="00217F0E"/>
    <w:p w14:paraId="5FF9DD58" w14:textId="77777777" w:rsidR="00794CA1" w:rsidRPr="00421157" w:rsidRDefault="00794CA1" w:rsidP="00A76839">
      <w:pPr>
        <w:pStyle w:val="Heading1"/>
        <w:numPr>
          <w:ilvl w:val="0"/>
          <w:numId w:val="13"/>
        </w:numPr>
      </w:pPr>
      <w:bookmarkStart w:id="514" w:name="_Toc440262254"/>
      <w:bookmarkStart w:id="515" w:name="_Toc440447930"/>
      <w:bookmarkStart w:id="516" w:name="_Toc440457980"/>
      <w:bookmarkStart w:id="517" w:name="_Toc513710371"/>
      <w:bookmarkStart w:id="518" w:name="_Toc187234633"/>
      <w:r w:rsidRPr="00C627E2">
        <w:t>CONCLUSION</w:t>
      </w:r>
      <w:bookmarkEnd w:id="514"/>
      <w:bookmarkEnd w:id="515"/>
      <w:bookmarkEnd w:id="516"/>
      <w:bookmarkEnd w:id="517"/>
      <w:bookmarkEnd w:id="518"/>
    </w:p>
    <w:p w14:paraId="0FAD59C8" w14:textId="2F5AC3E2" w:rsidR="00081549" w:rsidRDefault="006C7C83" w:rsidP="00992D59">
      <w:r>
        <w:t>W</w:t>
      </w:r>
      <w:r w:rsidR="00081549">
        <w:t xml:space="preserve">inter reliability </w:t>
      </w:r>
      <w:r w:rsidR="00304EDD">
        <w:t>continue</w:t>
      </w:r>
      <w:r w:rsidR="001335BC">
        <w:t>s</w:t>
      </w:r>
      <w:r w:rsidR="00304EDD">
        <w:t xml:space="preserve"> to </w:t>
      </w:r>
      <w:r w:rsidR="00663A65">
        <w:t>drive</w:t>
      </w:r>
      <w:r w:rsidR="00081549">
        <w:t xml:space="preserve"> the </w:t>
      </w:r>
      <w:r w:rsidR="005A6D6C">
        <w:t>20</w:t>
      </w:r>
      <w:r w:rsidR="00304EDD">
        <w:t>2</w:t>
      </w:r>
      <w:r w:rsidR="001D622B">
        <w:t>4</w:t>
      </w:r>
      <w:r w:rsidR="005A6D6C">
        <w:t xml:space="preserve"> R</w:t>
      </w:r>
      <w:r w:rsidR="00081549">
        <w:t xml:space="preserve">eserve </w:t>
      </w:r>
      <w:r w:rsidR="005A6D6C">
        <w:t>M</w:t>
      </w:r>
      <w:r w:rsidR="00081549">
        <w:t xml:space="preserve">argin </w:t>
      </w:r>
      <w:r w:rsidR="005A6D6C">
        <w:t>S</w:t>
      </w:r>
      <w:r w:rsidR="00081549">
        <w:t>tudy results</w:t>
      </w:r>
      <w:r w:rsidR="00AA4A3A">
        <w:t>.</w:t>
      </w:r>
      <w:r>
        <w:t xml:space="preserve"> </w:t>
      </w:r>
      <w:r w:rsidR="00081549">
        <w:t xml:space="preserve">However, it </w:t>
      </w:r>
      <w:r w:rsidR="000E5271">
        <w:t>remains</w:t>
      </w:r>
      <w:r w:rsidR="00081549">
        <w:t xml:space="preserve"> necessary to </w:t>
      </w:r>
      <w:r w:rsidR="00F3669B">
        <w:t>maintain</w:t>
      </w:r>
      <w:r w:rsidR="00081549">
        <w:t xml:space="preserve"> both a Winter T</w:t>
      </w:r>
      <w:r w:rsidR="005A6D6C">
        <w:t>RM</w:t>
      </w:r>
      <w:r w:rsidR="00081549">
        <w:t xml:space="preserve"> and a Summer </w:t>
      </w:r>
      <w:r w:rsidR="005A6D6C">
        <w:t>TRM</w:t>
      </w:r>
      <w:r w:rsidR="00081549">
        <w:t xml:space="preserve"> </w:t>
      </w:r>
      <w:r w:rsidR="005863F7">
        <w:t xml:space="preserve">for several reasons. </w:t>
      </w:r>
      <w:r w:rsidR="37592514">
        <w:t>While</w:t>
      </w:r>
      <w:r w:rsidR="45B4DA8F">
        <w:t xml:space="preserve"> new</w:t>
      </w:r>
      <w:r w:rsidR="37592514">
        <w:t xml:space="preserve"> capacity </w:t>
      </w:r>
      <w:r w:rsidR="1C4CBF09">
        <w:t>procurement</w:t>
      </w:r>
      <w:r w:rsidR="37592514">
        <w:t xml:space="preserve"> can be driven by either season, it is also important </w:t>
      </w:r>
      <w:r w:rsidR="6940C7A5">
        <w:t xml:space="preserve">to ensure </w:t>
      </w:r>
      <w:r w:rsidR="73628264">
        <w:t>t</w:t>
      </w:r>
      <w:r w:rsidR="6940C7A5">
        <w:t>hat both s</w:t>
      </w:r>
      <w:r w:rsidR="1252C328">
        <w:t>e</w:t>
      </w:r>
      <w:r w:rsidR="6940C7A5">
        <w:t>asons have sufficient</w:t>
      </w:r>
      <w:r w:rsidR="59E7ABA6">
        <w:t xml:space="preserve"> available</w:t>
      </w:r>
      <w:r w:rsidR="6940C7A5">
        <w:t xml:space="preserve"> capacity</w:t>
      </w:r>
      <w:r w:rsidR="4C0AF3BB">
        <w:t>.</w:t>
      </w:r>
      <w:r w:rsidR="6940C7A5">
        <w:t xml:space="preserve"> </w:t>
      </w:r>
      <w:bookmarkStart w:id="519" w:name="_Hlk534635084"/>
      <w:r w:rsidR="004C6644">
        <w:t>I</w:t>
      </w:r>
      <w:r w:rsidR="004A3CDE">
        <w:t>t is possible that capacity needs can be driven by either season and should be considered when adding new capacity</w:t>
      </w:r>
      <w:r w:rsidR="005863F7">
        <w:t>. In addition, there is the potential that</w:t>
      </w:r>
      <w:r w:rsidR="004C6644">
        <w:t>, over time,</w:t>
      </w:r>
      <w:r w:rsidR="005863F7">
        <w:t xml:space="preserve"> </w:t>
      </w:r>
      <w:r w:rsidR="003A03A0">
        <w:t xml:space="preserve">various </w:t>
      </w:r>
      <w:r w:rsidR="005863F7">
        <w:t xml:space="preserve">changes could alter the dynamics of the system such that the primary risk shifts </w:t>
      </w:r>
      <w:r w:rsidR="004A3CDE">
        <w:t>between seasons</w:t>
      </w:r>
      <w:r w:rsidR="00081549">
        <w:t>.</w:t>
      </w:r>
      <w:bookmarkEnd w:id="519"/>
      <w:r w:rsidR="00081549">
        <w:t xml:space="preserve"> </w:t>
      </w:r>
      <w:r w:rsidR="008D5C06">
        <w:t>Accordingly</w:t>
      </w:r>
      <w:r w:rsidR="00224822">
        <w:t>, i</w:t>
      </w:r>
      <w:r w:rsidR="00081549">
        <w:t xml:space="preserve">t is recommended </w:t>
      </w:r>
      <w:r w:rsidR="00304EDD">
        <w:t xml:space="preserve">that </w:t>
      </w:r>
      <w:r w:rsidR="005863F7">
        <w:t xml:space="preserve">the </w:t>
      </w:r>
      <w:r w:rsidR="00081549">
        <w:t xml:space="preserve">Winter </w:t>
      </w:r>
      <w:r w:rsidR="005A6D6C">
        <w:t>TRM</w:t>
      </w:r>
      <w:r w:rsidR="00304EDD">
        <w:t xml:space="preserve"> be</w:t>
      </w:r>
      <w:r w:rsidR="005A6D6C">
        <w:t xml:space="preserve"> </w:t>
      </w:r>
      <w:r w:rsidR="00081549">
        <w:t>established based on the results of the winter focus</w:t>
      </w:r>
      <w:r w:rsidR="00224822">
        <w:t>ed</w:t>
      </w:r>
      <w:r w:rsidR="00081549">
        <w:t xml:space="preserve"> study and </w:t>
      </w:r>
      <w:r w:rsidR="005863F7">
        <w:t>the</w:t>
      </w:r>
      <w:r w:rsidR="00081549">
        <w:t xml:space="preserve"> Summer T</w:t>
      </w:r>
      <w:r w:rsidR="005A6D6C">
        <w:t>RM</w:t>
      </w:r>
      <w:r w:rsidR="00081549">
        <w:t xml:space="preserve"> </w:t>
      </w:r>
      <w:r w:rsidR="008D5C06">
        <w:t xml:space="preserve">be </w:t>
      </w:r>
      <w:r w:rsidR="00081549">
        <w:t>established based on the summer focus</w:t>
      </w:r>
      <w:r w:rsidR="00224822">
        <w:t>ed</w:t>
      </w:r>
      <w:r w:rsidR="00081549">
        <w:t xml:space="preserve"> study</w:t>
      </w:r>
      <w:r w:rsidR="008D5C06">
        <w:t>,</w:t>
      </w:r>
      <w:r w:rsidR="000725A9">
        <w:t xml:space="preserve"> with</w:t>
      </w:r>
      <w:r w:rsidR="008D5C06">
        <w:t xml:space="preserve"> minimum</w:t>
      </w:r>
      <w:r w:rsidR="000725A9">
        <w:t xml:space="preserve"> </w:t>
      </w:r>
      <w:r w:rsidR="00A8092C">
        <w:t xml:space="preserve">1:10 LOLE threshold </w:t>
      </w:r>
      <w:r w:rsidR="000725A9">
        <w:t xml:space="preserve">considerations </w:t>
      </w:r>
      <w:r w:rsidR="008D5C06">
        <w:t>applicable to</w:t>
      </w:r>
      <w:r w:rsidR="005A6D6C">
        <w:t xml:space="preserve"> both</w:t>
      </w:r>
      <w:r w:rsidR="00081549">
        <w:t>.</w:t>
      </w:r>
    </w:p>
    <w:p w14:paraId="0859F4D9" w14:textId="77777777" w:rsidR="00486D49" w:rsidRDefault="00486D49" w:rsidP="00486D49">
      <w:pPr>
        <w:rPr>
          <w:szCs w:val="24"/>
        </w:rPr>
      </w:pPr>
    </w:p>
    <w:p w14:paraId="7E12DC3B" w14:textId="77777777" w:rsidR="00486D49" w:rsidRPr="00421157" w:rsidRDefault="00486D49" w:rsidP="00486D49">
      <w:pPr>
        <w:pStyle w:val="Heading2"/>
        <w:numPr>
          <w:ilvl w:val="0"/>
          <w:numId w:val="0"/>
        </w:numPr>
      </w:pPr>
      <w:bookmarkStart w:id="520" w:name="_Toc513710372"/>
      <w:bookmarkStart w:id="521" w:name="_Toc187234634"/>
      <w:r>
        <w:t>Winter Target Reserve Margin</w:t>
      </w:r>
      <w:bookmarkEnd w:id="520"/>
      <w:bookmarkEnd w:id="521"/>
    </w:p>
    <w:p w14:paraId="3AF47016" w14:textId="09D6FCF1" w:rsidR="000130A4" w:rsidRDefault="001C7157" w:rsidP="000130A4">
      <w:r>
        <w:t>The 20</w:t>
      </w:r>
      <w:r w:rsidR="00304EDD">
        <w:t>2</w:t>
      </w:r>
      <w:r w:rsidR="10221864">
        <w:t>4</w:t>
      </w:r>
      <w:r>
        <w:t xml:space="preserve"> Reserve Margin S</w:t>
      </w:r>
      <w:r w:rsidR="00A72FC2">
        <w:t>tudy recommends</w:t>
      </w:r>
      <w:r w:rsidR="000130A4">
        <w:t xml:space="preserve"> a long-term Winter TRM of 26% based on the follo</w:t>
      </w:r>
      <w:r w:rsidR="00B53BA2">
        <w:t>wing</w:t>
      </w:r>
      <w:r w:rsidR="006C7C83">
        <w:t>:</w:t>
      </w:r>
    </w:p>
    <w:p w14:paraId="4E7CD0CF" w14:textId="77777777" w:rsidR="005C2F67" w:rsidRDefault="005C2F67" w:rsidP="000130A4">
      <w:pPr>
        <w:rPr>
          <w:szCs w:val="24"/>
        </w:rPr>
      </w:pPr>
    </w:p>
    <w:p w14:paraId="19B4DE0C" w14:textId="77777777" w:rsidR="001D622B" w:rsidRDefault="001D622B" w:rsidP="00B53BA2">
      <w:pPr>
        <w:pStyle w:val="ListParagraph"/>
        <w:numPr>
          <w:ilvl w:val="0"/>
          <w:numId w:val="21"/>
        </w:numPr>
        <w:rPr>
          <w:szCs w:val="24"/>
        </w:rPr>
      </w:pPr>
      <w:r w:rsidRPr="001D622B">
        <w:rPr>
          <w:szCs w:val="24"/>
        </w:rPr>
        <w:t>The TRM should be equal to or greater than the 25.75% 1:10 LOLE threshold to ensure an adequate level of reliability on the System,</w:t>
      </w:r>
    </w:p>
    <w:p w14:paraId="554E8BF0" w14:textId="77777777" w:rsidR="001D622B" w:rsidRPr="001D622B" w:rsidRDefault="001D622B" w:rsidP="001D622B">
      <w:pPr>
        <w:numPr>
          <w:ilvl w:val="0"/>
          <w:numId w:val="21"/>
        </w:numPr>
        <w:contextualSpacing/>
        <w:rPr>
          <w:szCs w:val="24"/>
        </w:rPr>
      </w:pPr>
      <w:r w:rsidRPr="001D622B">
        <w:rPr>
          <w:szCs w:val="24"/>
        </w:rPr>
        <w:t>A reserve margin of 26% represents the risk-adjusted EORM that falls within the confidence intervals considered,</w:t>
      </w:r>
    </w:p>
    <w:p w14:paraId="5E92EFE3" w14:textId="77777777" w:rsidR="001D622B" w:rsidRPr="001D622B" w:rsidRDefault="001D622B" w:rsidP="001D622B">
      <w:pPr>
        <w:numPr>
          <w:ilvl w:val="0"/>
          <w:numId w:val="21"/>
        </w:numPr>
        <w:contextualSpacing/>
        <w:rPr>
          <w:szCs w:val="24"/>
        </w:rPr>
      </w:pPr>
      <w:r w:rsidRPr="001D622B">
        <w:rPr>
          <w:szCs w:val="24"/>
        </w:rPr>
        <w:t>Compared to the 22.75% expected case Winter EORM, a 26.00% risk-adjusted Winter EORM reduces VaR at the 85</w:t>
      </w:r>
      <w:r w:rsidRPr="001D622B">
        <w:rPr>
          <w:szCs w:val="24"/>
          <w:vertAlign w:val="superscript"/>
        </w:rPr>
        <w:t>th</w:t>
      </w:r>
      <w:r w:rsidRPr="001D622B">
        <w:rPr>
          <w:szCs w:val="24"/>
        </w:rPr>
        <w:t xml:space="preserve"> confidence interval by $79.2M/year, while only increasing expected cost by $49.8M/year and,</w:t>
      </w:r>
    </w:p>
    <w:p w14:paraId="42E20776" w14:textId="77777777" w:rsidR="001D622B" w:rsidRPr="001D622B" w:rsidRDefault="001D622B" w:rsidP="001D622B">
      <w:pPr>
        <w:numPr>
          <w:ilvl w:val="0"/>
          <w:numId w:val="21"/>
        </w:numPr>
        <w:contextualSpacing/>
        <w:rPr>
          <w:szCs w:val="24"/>
        </w:rPr>
      </w:pPr>
      <w:r w:rsidRPr="458F86C6">
        <w:t>A 26.00% Winter TRM is consistent with results from the 2021 Reserve Margin Study.</w:t>
      </w:r>
      <w:r w:rsidRPr="458F86C6">
        <w:rPr>
          <w:vertAlign w:val="superscript"/>
        </w:rPr>
        <w:footnoteReference w:id="16"/>
      </w:r>
      <w:r w:rsidRPr="458F86C6">
        <w:t xml:space="preserve"> Maintaining this TRM provides stability to the integrated resource planning process.</w:t>
      </w:r>
    </w:p>
    <w:p w14:paraId="02CFF4BD" w14:textId="77777777" w:rsidR="00B62D42" w:rsidRDefault="00B62D42">
      <w:pPr>
        <w:spacing w:line="240" w:lineRule="auto"/>
        <w:jc w:val="left"/>
        <w:rPr>
          <w:b/>
        </w:rPr>
      </w:pPr>
    </w:p>
    <w:p w14:paraId="4846F244" w14:textId="77777777" w:rsidR="0077557B" w:rsidRDefault="0077557B">
      <w:pPr>
        <w:spacing w:line="240" w:lineRule="auto"/>
        <w:jc w:val="left"/>
        <w:rPr>
          <w:b/>
        </w:rPr>
      </w:pPr>
    </w:p>
    <w:p w14:paraId="0A1B6409" w14:textId="77777777" w:rsidR="0077557B" w:rsidRDefault="0077557B">
      <w:pPr>
        <w:spacing w:line="240" w:lineRule="auto"/>
        <w:jc w:val="left"/>
        <w:rPr>
          <w:b/>
        </w:rPr>
      </w:pPr>
    </w:p>
    <w:p w14:paraId="4C18F1C3" w14:textId="77777777" w:rsidR="0077557B" w:rsidRDefault="0077557B">
      <w:pPr>
        <w:spacing w:line="240" w:lineRule="auto"/>
        <w:jc w:val="left"/>
        <w:rPr>
          <w:b/>
        </w:rPr>
      </w:pPr>
    </w:p>
    <w:p w14:paraId="30922867" w14:textId="77777777" w:rsidR="0077557B" w:rsidRDefault="0077557B">
      <w:pPr>
        <w:spacing w:line="240" w:lineRule="auto"/>
        <w:jc w:val="left"/>
        <w:rPr>
          <w:b/>
        </w:rPr>
      </w:pPr>
    </w:p>
    <w:p w14:paraId="170468A2" w14:textId="77777777" w:rsidR="00D70D14" w:rsidRDefault="00D70D14">
      <w:pPr>
        <w:spacing w:line="240" w:lineRule="auto"/>
        <w:jc w:val="left"/>
        <w:rPr>
          <w:b/>
        </w:rPr>
      </w:pPr>
    </w:p>
    <w:p w14:paraId="7EECA2F0" w14:textId="77777777" w:rsidR="00486D49" w:rsidRPr="00421157" w:rsidRDefault="00486D49" w:rsidP="00486D49">
      <w:pPr>
        <w:pStyle w:val="Heading2"/>
        <w:numPr>
          <w:ilvl w:val="0"/>
          <w:numId w:val="0"/>
        </w:numPr>
      </w:pPr>
      <w:bookmarkStart w:id="522" w:name="_Toc513710373"/>
      <w:bookmarkStart w:id="523" w:name="_Toc187234635"/>
      <w:r>
        <w:t>Summer Target Reserve Margin</w:t>
      </w:r>
      <w:bookmarkEnd w:id="522"/>
      <w:bookmarkEnd w:id="523"/>
    </w:p>
    <w:p w14:paraId="53327944" w14:textId="3DABE2C3" w:rsidR="001335BC" w:rsidRDefault="00381209" w:rsidP="00381209">
      <w:pPr>
        <w:rPr>
          <w:szCs w:val="24"/>
        </w:rPr>
      </w:pPr>
      <w:r>
        <w:rPr>
          <w:szCs w:val="24"/>
        </w:rPr>
        <w:t xml:space="preserve">The </w:t>
      </w:r>
      <w:r w:rsidR="004973B4">
        <w:rPr>
          <w:szCs w:val="24"/>
        </w:rPr>
        <w:t>S</w:t>
      </w:r>
      <w:r>
        <w:rPr>
          <w:szCs w:val="24"/>
        </w:rPr>
        <w:t xml:space="preserve">ummer </w:t>
      </w:r>
      <w:r w:rsidR="00486D49">
        <w:rPr>
          <w:szCs w:val="24"/>
        </w:rPr>
        <w:t>EORM</w:t>
      </w:r>
      <w:r>
        <w:rPr>
          <w:szCs w:val="24"/>
        </w:rPr>
        <w:t xml:space="preserve"> from the summer focus study is </w:t>
      </w:r>
      <w:r w:rsidR="00D70D14">
        <w:rPr>
          <w:szCs w:val="24"/>
        </w:rPr>
        <w:t>18.</w:t>
      </w:r>
      <w:r w:rsidR="003C5466">
        <w:rPr>
          <w:szCs w:val="24"/>
        </w:rPr>
        <w:t>2</w:t>
      </w:r>
      <w:r w:rsidR="00D70D14">
        <w:rPr>
          <w:szCs w:val="24"/>
        </w:rPr>
        <w:t>5</w:t>
      </w:r>
      <w:r>
        <w:rPr>
          <w:szCs w:val="24"/>
        </w:rPr>
        <w:t xml:space="preserve">%, with the VaR85 reserve margin being </w:t>
      </w:r>
      <w:r w:rsidR="00B17E24">
        <w:rPr>
          <w:szCs w:val="24"/>
        </w:rPr>
        <w:t>2</w:t>
      </w:r>
      <w:r w:rsidR="00D70D14">
        <w:rPr>
          <w:szCs w:val="24"/>
        </w:rPr>
        <w:t>1.</w:t>
      </w:r>
      <w:r w:rsidR="000C1DE8">
        <w:rPr>
          <w:szCs w:val="24"/>
        </w:rPr>
        <w:t>25</w:t>
      </w:r>
      <w:r>
        <w:rPr>
          <w:szCs w:val="24"/>
        </w:rPr>
        <w:t xml:space="preserve">%. </w:t>
      </w:r>
      <w:r w:rsidR="00D03EBA">
        <w:rPr>
          <w:szCs w:val="24"/>
        </w:rPr>
        <w:t>Nevertheless</w:t>
      </w:r>
      <w:r>
        <w:rPr>
          <w:szCs w:val="24"/>
        </w:rPr>
        <w:t xml:space="preserve">, </w:t>
      </w:r>
      <w:r w:rsidR="00F3669B">
        <w:rPr>
          <w:szCs w:val="24"/>
        </w:rPr>
        <w:t xml:space="preserve">in a system where winter drives reliability results, </w:t>
      </w:r>
      <w:r>
        <w:rPr>
          <w:szCs w:val="24"/>
        </w:rPr>
        <w:t xml:space="preserve">the Summer </w:t>
      </w:r>
      <w:r w:rsidR="00486D49">
        <w:rPr>
          <w:szCs w:val="24"/>
        </w:rPr>
        <w:t>TRM</w:t>
      </w:r>
      <w:r>
        <w:rPr>
          <w:szCs w:val="24"/>
        </w:rPr>
        <w:t xml:space="preserve"> cannot be determined </w:t>
      </w:r>
      <w:r w:rsidR="006C7C83">
        <w:rPr>
          <w:szCs w:val="24"/>
        </w:rPr>
        <w:t xml:space="preserve">without consideration of the </w:t>
      </w:r>
      <w:r>
        <w:rPr>
          <w:szCs w:val="24"/>
        </w:rPr>
        <w:t xml:space="preserve">Winter </w:t>
      </w:r>
      <w:r w:rsidR="00486D49">
        <w:rPr>
          <w:szCs w:val="24"/>
        </w:rPr>
        <w:t>TRM</w:t>
      </w:r>
      <w:r>
        <w:rPr>
          <w:szCs w:val="24"/>
        </w:rPr>
        <w:t xml:space="preserve">. </w:t>
      </w:r>
      <w:r w:rsidR="00FA6BD5">
        <w:rPr>
          <w:szCs w:val="24"/>
        </w:rPr>
        <w:t>If</w:t>
      </w:r>
      <w:r>
        <w:rPr>
          <w:szCs w:val="24"/>
        </w:rPr>
        <w:t xml:space="preserve"> the System is meeting its 26% Winter </w:t>
      </w:r>
      <w:r w:rsidR="00486D49">
        <w:rPr>
          <w:szCs w:val="24"/>
        </w:rPr>
        <w:t>TRM</w:t>
      </w:r>
      <w:r>
        <w:rPr>
          <w:szCs w:val="24"/>
        </w:rPr>
        <w:t xml:space="preserve"> requirement with resources that provide year-round capacity, the summer reserve margin will </w:t>
      </w:r>
      <w:r w:rsidR="00FA6BD5">
        <w:rPr>
          <w:szCs w:val="24"/>
        </w:rPr>
        <w:t xml:space="preserve">generally </w:t>
      </w:r>
      <w:r>
        <w:rPr>
          <w:szCs w:val="24"/>
        </w:rPr>
        <w:t xml:space="preserve">be at or above </w:t>
      </w:r>
      <w:r w:rsidR="00B17E24">
        <w:rPr>
          <w:szCs w:val="24"/>
        </w:rPr>
        <w:t>2</w:t>
      </w:r>
      <w:r w:rsidR="00D70D14">
        <w:rPr>
          <w:szCs w:val="24"/>
        </w:rPr>
        <w:t>4</w:t>
      </w:r>
      <w:r>
        <w:rPr>
          <w:szCs w:val="24"/>
        </w:rPr>
        <w:t>%</w:t>
      </w:r>
      <w:r w:rsidR="00B62D42">
        <w:rPr>
          <w:szCs w:val="24"/>
        </w:rPr>
        <w:t xml:space="preserve">. </w:t>
      </w:r>
      <w:r w:rsidR="009C760E">
        <w:rPr>
          <w:szCs w:val="24"/>
        </w:rPr>
        <w:t>However</w:t>
      </w:r>
      <w:r w:rsidR="001335BC">
        <w:rPr>
          <w:szCs w:val="24"/>
        </w:rPr>
        <w:t>, if resources available solely in</w:t>
      </w:r>
      <w:r w:rsidR="009C760E">
        <w:rPr>
          <w:szCs w:val="24"/>
        </w:rPr>
        <w:t xml:space="preserve"> the</w:t>
      </w:r>
      <w:r w:rsidR="001335BC">
        <w:rPr>
          <w:szCs w:val="24"/>
        </w:rPr>
        <w:t xml:space="preserve"> winter</w:t>
      </w:r>
      <w:r w:rsidR="009C760E">
        <w:rPr>
          <w:szCs w:val="24"/>
        </w:rPr>
        <w:t xml:space="preserve"> season</w:t>
      </w:r>
      <w:r w:rsidR="001335BC">
        <w:rPr>
          <w:szCs w:val="24"/>
        </w:rPr>
        <w:t xml:space="preserve"> become </w:t>
      </w:r>
      <w:r w:rsidR="009C760E">
        <w:rPr>
          <w:szCs w:val="24"/>
        </w:rPr>
        <w:t>widespread</w:t>
      </w:r>
      <w:r w:rsidR="001335BC">
        <w:rPr>
          <w:szCs w:val="24"/>
        </w:rPr>
        <w:t>, the</w:t>
      </w:r>
      <w:r w:rsidR="009C760E">
        <w:rPr>
          <w:szCs w:val="24"/>
        </w:rPr>
        <w:t xml:space="preserve"> equivalent</w:t>
      </w:r>
      <w:r w:rsidR="001335BC">
        <w:rPr>
          <w:szCs w:val="24"/>
        </w:rPr>
        <w:t xml:space="preserve"> </w:t>
      </w:r>
      <w:r w:rsidR="009C760E">
        <w:rPr>
          <w:szCs w:val="24"/>
        </w:rPr>
        <w:t>summer</w:t>
      </w:r>
      <w:r w:rsidR="001335BC">
        <w:rPr>
          <w:szCs w:val="24"/>
        </w:rPr>
        <w:t xml:space="preserve"> reserve margin </w:t>
      </w:r>
      <w:r w:rsidR="009C760E">
        <w:rPr>
          <w:szCs w:val="24"/>
        </w:rPr>
        <w:t>will</w:t>
      </w:r>
      <w:r w:rsidR="001335BC">
        <w:rPr>
          <w:szCs w:val="24"/>
        </w:rPr>
        <w:t xml:space="preserve"> fall below 24%. This </w:t>
      </w:r>
      <w:r w:rsidR="00D03EBA">
        <w:rPr>
          <w:szCs w:val="24"/>
        </w:rPr>
        <w:t>decline</w:t>
      </w:r>
      <w:r w:rsidR="001335BC">
        <w:rPr>
          <w:szCs w:val="24"/>
        </w:rPr>
        <w:t xml:space="preserve"> is acceptable as long as </w:t>
      </w:r>
      <w:r w:rsidR="009C760E" w:rsidRPr="009C760E">
        <w:rPr>
          <w:szCs w:val="24"/>
        </w:rPr>
        <w:t>the combined annual reliability remains above the 1:10 LOLE threshold.</w:t>
      </w:r>
      <w:r w:rsidR="00D03EBA">
        <w:rPr>
          <w:szCs w:val="24"/>
        </w:rPr>
        <w:t xml:space="preserve"> </w:t>
      </w:r>
      <w:r w:rsidR="006E7D3F">
        <w:rPr>
          <w:szCs w:val="24"/>
        </w:rPr>
        <w:t>The following graph demonstrates</w:t>
      </w:r>
      <w:r w:rsidRPr="002F27CB">
        <w:rPr>
          <w:szCs w:val="24"/>
        </w:rPr>
        <w:t xml:space="preserve"> </w:t>
      </w:r>
      <w:r w:rsidR="006E7D3F">
        <w:rPr>
          <w:szCs w:val="24"/>
        </w:rPr>
        <w:t xml:space="preserve">the minimum acceptable Summer </w:t>
      </w:r>
      <w:r w:rsidR="00486D49">
        <w:rPr>
          <w:szCs w:val="24"/>
        </w:rPr>
        <w:t>TRM</w:t>
      </w:r>
      <w:r w:rsidR="006E7D3F">
        <w:rPr>
          <w:szCs w:val="24"/>
        </w:rPr>
        <w:t xml:space="preserve"> as a function of Winter T</w:t>
      </w:r>
      <w:r w:rsidR="00486D49">
        <w:rPr>
          <w:szCs w:val="24"/>
        </w:rPr>
        <w:t>RM</w:t>
      </w:r>
      <w:r w:rsidR="006E7D3F">
        <w:rPr>
          <w:szCs w:val="24"/>
        </w:rPr>
        <w:t>.</w:t>
      </w:r>
      <w:r w:rsidR="00A648A6">
        <w:rPr>
          <w:szCs w:val="24"/>
        </w:rPr>
        <w:t xml:space="preserve"> </w:t>
      </w:r>
      <w:r w:rsidR="006E7D3F">
        <w:rPr>
          <w:szCs w:val="24"/>
        </w:rPr>
        <w:t>For a Winter T</w:t>
      </w:r>
      <w:r w:rsidR="00486D49">
        <w:rPr>
          <w:szCs w:val="24"/>
        </w:rPr>
        <w:t>RM</w:t>
      </w:r>
      <w:r w:rsidR="006E7D3F">
        <w:rPr>
          <w:szCs w:val="24"/>
        </w:rPr>
        <w:t xml:space="preserve"> of 26</w:t>
      </w:r>
      <w:r w:rsidR="000C1DE8">
        <w:rPr>
          <w:szCs w:val="24"/>
        </w:rPr>
        <w:t>.00</w:t>
      </w:r>
      <w:r w:rsidR="006E7D3F">
        <w:rPr>
          <w:szCs w:val="24"/>
        </w:rPr>
        <w:t>%, the minimum acceptable Summer T</w:t>
      </w:r>
      <w:r w:rsidR="00486D49">
        <w:rPr>
          <w:szCs w:val="24"/>
        </w:rPr>
        <w:t>RM</w:t>
      </w:r>
      <w:r w:rsidR="006E7D3F">
        <w:rPr>
          <w:szCs w:val="24"/>
        </w:rPr>
        <w:t xml:space="preserve"> is </w:t>
      </w:r>
      <w:r w:rsidR="00D70D14">
        <w:rPr>
          <w:szCs w:val="24"/>
        </w:rPr>
        <w:t>19.55</w:t>
      </w:r>
      <w:r w:rsidR="006E7D3F">
        <w:rPr>
          <w:szCs w:val="24"/>
        </w:rPr>
        <w:t>%</w:t>
      </w:r>
      <w:r w:rsidR="00D70D14">
        <w:rPr>
          <w:szCs w:val="24"/>
        </w:rPr>
        <w:t>.</w:t>
      </w:r>
    </w:p>
    <w:p w14:paraId="5B682AFC" w14:textId="77777777" w:rsidR="006E7D3F" w:rsidRDefault="006E7D3F" w:rsidP="00381209">
      <w:pPr>
        <w:rPr>
          <w:szCs w:val="24"/>
        </w:rPr>
      </w:pPr>
    </w:p>
    <w:p w14:paraId="4645ED2C" w14:textId="17B2686B" w:rsidR="007F410A" w:rsidRDefault="007F410A" w:rsidP="007F410A">
      <w:pPr>
        <w:keepNext/>
      </w:pPr>
    </w:p>
    <w:p w14:paraId="177147A9" w14:textId="1495D17B" w:rsidR="148ADC7B" w:rsidRDefault="148ADC7B" w:rsidP="458F86C6">
      <w:r>
        <w:rPr>
          <w:noProof/>
        </w:rPr>
        <w:drawing>
          <wp:inline distT="0" distB="0" distL="0" distR="0" wp14:anchorId="17CFDC01" wp14:editId="7C5C593C">
            <wp:extent cx="5943600" cy="3228975"/>
            <wp:effectExtent l="0" t="0" r="0" b="0"/>
            <wp:docPr id="579580143" name="Picture 579580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3228975"/>
                    </a:xfrm>
                    <a:prstGeom prst="rect">
                      <a:avLst/>
                    </a:prstGeom>
                  </pic:spPr>
                </pic:pic>
              </a:graphicData>
            </a:graphic>
          </wp:inline>
        </w:drawing>
      </w:r>
    </w:p>
    <w:p w14:paraId="7516247C" w14:textId="7CFF788F" w:rsidR="00381209" w:rsidRDefault="007F410A" w:rsidP="008D5C06">
      <w:pPr>
        <w:pStyle w:val="Caption"/>
        <w:jc w:val="both"/>
        <w:rPr>
          <w:szCs w:val="24"/>
        </w:rPr>
      </w:pPr>
      <w:bookmarkStart w:id="524" w:name="_Toc513710605"/>
      <w:bookmarkStart w:id="525" w:name="_Toc187234693"/>
      <w:r>
        <w:t xml:space="preserve">Figure </w:t>
      </w:r>
      <w:r w:rsidR="00F262E6">
        <w:fldChar w:fldCharType="begin"/>
      </w:r>
      <w:r w:rsidR="00F262E6">
        <w:instrText xml:space="preserve"> STYLEREF 1 \s </w:instrText>
      </w:r>
      <w:r w:rsidR="00F262E6">
        <w:fldChar w:fldCharType="separate"/>
      </w:r>
      <w:r w:rsidR="00F262E6">
        <w:rPr>
          <w:noProof/>
        </w:rPr>
        <w:t>V</w:t>
      </w:r>
      <w:r w:rsidR="00F262E6">
        <w:fldChar w:fldCharType="end"/>
      </w:r>
      <w:r w:rsidR="00F262E6">
        <w:t>.</w:t>
      </w:r>
      <w:r w:rsidR="00F262E6">
        <w:fldChar w:fldCharType="begin"/>
      </w:r>
      <w:r w:rsidR="00F262E6">
        <w:instrText xml:space="preserve"> SEQ Figure \* ARABIC \s 1 </w:instrText>
      </w:r>
      <w:r w:rsidR="00F262E6">
        <w:fldChar w:fldCharType="separate"/>
      </w:r>
      <w:r w:rsidR="00F262E6">
        <w:rPr>
          <w:noProof/>
        </w:rPr>
        <w:t>1</w:t>
      </w:r>
      <w:r w:rsidR="00F262E6">
        <w:fldChar w:fldCharType="end"/>
      </w:r>
      <w:r>
        <w:t xml:space="preserve">. </w:t>
      </w:r>
      <w:r w:rsidRPr="001000CC">
        <w:t>Minimum Acceptable Summer Target Reserve Margins</w:t>
      </w:r>
      <w:bookmarkEnd w:id="524"/>
      <w:bookmarkEnd w:id="525"/>
    </w:p>
    <w:p w14:paraId="35A9460D" w14:textId="77777777" w:rsidR="008D5C06" w:rsidRDefault="008D5C06" w:rsidP="008D5C06">
      <w:pPr>
        <w:rPr>
          <w:szCs w:val="24"/>
        </w:rPr>
      </w:pPr>
    </w:p>
    <w:p w14:paraId="0629C8EF" w14:textId="77777777" w:rsidR="0077557B" w:rsidRDefault="0077557B" w:rsidP="008D5C06">
      <w:pPr>
        <w:rPr>
          <w:szCs w:val="24"/>
        </w:rPr>
      </w:pPr>
    </w:p>
    <w:p w14:paraId="158FE59D" w14:textId="77777777" w:rsidR="0077557B" w:rsidRDefault="0077557B" w:rsidP="008D5C06">
      <w:pPr>
        <w:rPr>
          <w:szCs w:val="24"/>
        </w:rPr>
      </w:pPr>
    </w:p>
    <w:p w14:paraId="60556B34" w14:textId="77777777" w:rsidR="0077557B" w:rsidRDefault="0077557B" w:rsidP="008D5C06">
      <w:pPr>
        <w:rPr>
          <w:szCs w:val="24"/>
        </w:rPr>
      </w:pPr>
    </w:p>
    <w:p w14:paraId="0F248CB4" w14:textId="304F56C2" w:rsidR="00D70D14" w:rsidRPr="00D70D14" w:rsidRDefault="00D70D14" w:rsidP="00D70D14">
      <w:r>
        <w:t>Therefore, the 2024 Reserve Margin Study recommends a long-term Summer TRM of 20.00% based on the following:</w:t>
      </w:r>
    </w:p>
    <w:p w14:paraId="06045AC7" w14:textId="77777777" w:rsidR="00D70D14" w:rsidRDefault="00D70D14" w:rsidP="008D5C06">
      <w:pPr>
        <w:rPr>
          <w:szCs w:val="24"/>
        </w:rPr>
      </w:pPr>
    </w:p>
    <w:p w14:paraId="1FEBB670" w14:textId="5191A76F" w:rsidR="16306EE7" w:rsidRDefault="16306EE7" w:rsidP="052CF163">
      <w:pPr>
        <w:numPr>
          <w:ilvl w:val="0"/>
          <w:numId w:val="38"/>
        </w:numPr>
        <w:contextualSpacing/>
      </w:pPr>
      <w:r>
        <w:t>At the recommended Winter TRM of 26.00%, the Summer TRM should be equal to or greater than the 19.55% 1:10 LOLE threshold to ensure an adequate level of annual reliability on the System,</w:t>
      </w:r>
    </w:p>
    <w:p w14:paraId="758A1839" w14:textId="6A6564B6" w:rsidR="5AE2D307" w:rsidRDefault="16306EE7" w:rsidP="0077557B">
      <w:pPr>
        <w:pStyle w:val="ListParagraph"/>
        <w:numPr>
          <w:ilvl w:val="0"/>
          <w:numId w:val="38"/>
        </w:numPr>
      </w:pPr>
      <w:r>
        <w:t>A summer reserve margin of 20.00% is economically justified, falling within the EORM and VaR85 confidence interval. Compared to the current 16.25% summer TRM, increasing the Summer TRM to 20.00% will provide an economic benefit to customers by reducing expected System costs by $5.3M/year while supporting an annual 1:10 LOLE level of reliability.</w:t>
      </w:r>
    </w:p>
    <w:p w14:paraId="2CB62CE3" w14:textId="16DDAF94" w:rsidR="052CF163" w:rsidRDefault="16306EE7" w:rsidP="0077557B">
      <w:pPr>
        <w:numPr>
          <w:ilvl w:val="0"/>
          <w:numId w:val="38"/>
        </w:numPr>
        <w:contextualSpacing/>
      </w:pPr>
      <w:r>
        <w:t>The equivalent summer reserve margin that corresponds to the 26% Winter TRM is 24.76%. Therefore, raising the Summer TRM to 20.00% is not expected to drive additional System costs because resources procured to meet the more dominant Winter TRM are generally expected to be available during summer months as well.</w:t>
      </w:r>
    </w:p>
    <w:p w14:paraId="32D2CD41" w14:textId="77777777" w:rsidR="00D70D14" w:rsidRDefault="00D70D14" w:rsidP="008D5C06">
      <w:pPr>
        <w:rPr>
          <w:szCs w:val="24"/>
        </w:rPr>
      </w:pPr>
    </w:p>
    <w:p w14:paraId="04086FC9" w14:textId="26B08EFB" w:rsidR="006A2291" w:rsidRDefault="008D5C06" w:rsidP="008D5C06">
      <w:pPr>
        <w:rPr>
          <w:szCs w:val="24"/>
        </w:rPr>
      </w:pPr>
      <w:r w:rsidRPr="008D5C06">
        <w:rPr>
          <w:szCs w:val="24"/>
        </w:rPr>
        <w:t xml:space="preserve">In summary, the recommendation is to maintain the current Winter TRM of 26% </w:t>
      </w:r>
      <w:r w:rsidRPr="008D5C06">
        <w:rPr>
          <w:color w:val="000000" w:themeColor="text1"/>
          <w:szCs w:val="24"/>
        </w:rPr>
        <w:t>for the System</w:t>
      </w:r>
      <w:r w:rsidRPr="008D5C06">
        <w:rPr>
          <w:szCs w:val="24"/>
        </w:rPr>
        <w:t>.</w:t>
      </w:r>
      <w:r w:rsidR="00A648A6">
        <w:rPr>
          <w:szCs w:val="24"/>
        </w:rPr>
        <w:t xml:space="preserve"> </w:t>
      </w:r>
      <w:r w:rsidRPr="008D5C06">
        <w:rPr>
          <w:color w:val="000000" w:themeColor="text1"/>
          <w:szCs w:val="24"/>
        </w:rPr>
        <w:t>This 26% Winter Target reflects the results of comprehensive economic study and a variety of other available information</w:t>
      </w:r>
      <w:r w:rsidR="00662B57">
        <w:rPr>
          <w:color w:val="000000" w:themeColor="text1"/>
          <w:szCs w:val="24"/>
        </w:rPr>
        <w:t xml:space="preserve"> </w:t>
      </w:r>
      <w:r w:rsidRPr="008D5C06">
        <w:rPr>
          <w:color w:val="000000" w:themeColor="text1"/>
          <w:szCs w:val="24"/>
        </w:rPr>
        <w:t xml:space="preserve">and is extremely important in planning for resources that will meet customer needs in a reliable and cost-effective manner. </w:t>
      </w:r>
      <w:r w:rsidRPr="008D5C06">
        <w:rPr>
          <w:szCs w:val="24"/>
        </w:rPr>
        <w:t xml:space="preserve">It is further recommended that the Summer TRM </w:t>
      </w:r>
      <w:r w:rsidR="006A2291">
        <w:rPr>
          <w:szCs w:val="24"/>
        </w:rPr>
        <w:t>be increased to 20% in order to maintain an annual 1:10 LOLE level of reliability.</w:t>
      </w:r>
    </w:p>
    <w:p w14:paraId="0C4F3516" w14:textId="77777777" w:rsidR="006A2291" w:rsidRDefault="006A2291" w:rsidP="008D5C06">
      <w:pPr>
        <w:rPr>
          <w:szCs w:val="24"/>
        </w:rPr>
      </w:pPr>
    </w:p>
    <w:p w14:paraId="033C67AD" w14:textId="621770E0" w:rsidR="008D5C06" w:rsidRPr="008D5C06" w:rsidRDefault="008D5C06" w:rsidP="008D5C06">
      <w:pPr>
        <w:rPr>
          <w:szCs w:val="24"/>
        </w:rPr>
      </w:pPr>
      <w:r w:rsidRPr="008D5C06">
        <w:rPr>
          <w:szCs w:val="24"/>
        </w:rPr>
        <w:t>These recommendations apply for studies looking out four or more years. For studies looking inside a three-year window, the recommended Winter and Summer</w:t>
      </w:r>
      <w:r w:rsidR="001F6811">
        <w:rPr>
          <w:szCs w:val="24"/>
        </w:rPr>
        <w:t xml:space="preserve"> short-term</w:t>
      </w:r>
      <w:r w:rsidRPr="008D5C06">
        <w:rPr>
          <w:szCs w:val="24"/>
        </w:rPr>
        <w:t xml:space="preserve"> TRMs are 25.5</w:t>
      </w:r>
      <w:r w:rsidR="006A2291">
        <w:rPr>
          <w:szCs w:val="24"/>
        </w:rPr>
        <w:t>0</w:t>
      </w:r>
      <w:r w:rsidRPr="008D5C06">
        <w:rPr>
          <w:szCs w:val="24"/>
        </w:rPr>
        <w:t xml:space="preserve">% and </w:t>
      </w:r>
      <w:r w:rsidR="006A2291">
        <w:rPr>
          <w:szCs w:val="24"/>
        </w:rPr>
        <w:t>19.50</w:t>
      </w:r>
      <w:r w:rsidRPr="008D5C06">
        <w:rPr>
          <w:szCs w:val="24"/>
        </w:rPr>
        <w:t xml:space="preserve">%, respectively, reflecting a 0.5% reduction from each long-term TRM attributable to the difference between the long-term and the short-term forecast error. </w:t>
      </w:r>
    </w:p>
    <w:p w14:paraId="2592D4E6" w14:textId="77777777" w:rsidR="008D5C06" w:rsidRDefault="008D5C06" w:rsidP="008D5C06">
      <w:pPr>
        <w:rPr>
          <w:szCs w:val="24"/>
        </w:rPr>
      </w:pPr>
    </w:p>
    <w:p w14:paraId="5F32ED8F" w14:textId="4308AE64" w:rsidR="008D5C06" w:rsidRDefault="008D5C06" w:rsidP="008D5C06">
      <w:r>
        <w:t xml:space="preserve">These recommendations are designed to provide guidance for resource planning </w:t>
      </w:r>
      <w:r w:rsidR="006A2291">
        <w:t>decisions but</w:t>
      </w:r>
      <w:r>
        <w:t xml:space="preserve"> should not be considered absolute requirements. The large size of capacity additions, the availability and price of market capacity (as indicated by the Capacity Cost sensitivity), or economic changes may justify decisions that result in reserve margins above these targets.</w:t>
      </w:r>
    </w:p>
    <w:sectPr w:rsidR="008D5C06" w:rsidSect="00F80128">
      <w:footerReference w:type="default" r:id="rId44"/>
      <w:type w:val="continuous"/>
      <w:pgSz w:w="12240" w:h="15840" w:code="1"/>
      <w:pgMar w:top="1800" w:right="1440" w:bottom="180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FA0864" w14:textId="77777777" w:rsidR="00B260F8" w:rsidRDefault="00B260F8">
      <w:r>
        <w:separator/>
      </w:r>
    </w:p>
    <w:p w14:paraId="2620B747" w14:textId="77777777" w:rsidR="00B260F8" w:rsidRDefault="00B260F8"/>
  </w:endnote>
  <w:endnote w:type="continuationSeparator" w:id="0">
    <w:p w14:paraId="09B68DB3" w14:textId="77777777" w:rsidR="00B260F8" w:rsidRDefault="00B260F8">
      <w:r>
        <w:continuationSeparator/>
      </w:r>
    </w:p>
    <w:p w14:paraId="3B66B7C9" w14:textId="77777777" w:rsidR="00B260F8" w:rsidRDefault="00B260F8"/>
  </w:endnote>
  <w:endnote w:type="continuationNotice" w:id="1">
    <w:p w14:paraId="5CCD8B6B" w14:textId="77777777" w:rsidR="00B260F8" w:rsidRDefault="00B260F8"/>
    <w:p w14:paraId="546A7C62" w14:textId="77777777" w:rsidR="00B260F8" w:rsidRDefault="00B260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MS P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F602B0" w14:textId="77777777" w:rsidR="00CB2E02" w:rsidRPr="00352C18" w:rsidRDefault="00CB2E02" w:rsidP="00D77328">
    <w:pPr>
      <w:pStyle w:val="Footer"/>
      <w:framePr w:wrap="around" w:vAnchor="text" w:hAnchor="margin" w:xAlign="right" w:y="1"/>
      <w:rPr>
        <w:rStyle w:val="PageNumber"/>
        <w:sz w:val="19"/>
        <w:szCs w:val="19"/>
      </w:rPr>
    </w:pPr>
    <w:r w:rsidRPr="00352C18">
      <w:rPr>
        <w:rStyle w:val="PageNumber"/>
        <w:sz w:val="19"/>
        <w:szCs w:val="19"/>
      </w:rPr>
      <w:fldChar w:fldCharType="begin"/>
    </w:r>
    <w:r w:rsidRPr="00352C18">
      <w:rPr>
        <w:rStyle w:val="PageNumber"/>
        <w:sz w:val="19"/>
        <w:szCs w:val="19"/>
      </w:rPr>
      <w:instrText xml:space="preserve">PAGE  </w:instrText>
    </w:r>
    <w:r w:rsidRPr="00352C18">
      <w:rPr>
        <w:rStyle w:val="PageNumber"/>
        <w:sz w:val="19"/>
        <w:szCs w:val="19"/>
      </w:rPr>
      <w:fldChar w:fldCharType="end"/>
    </w:r>
  </w:p>
  <w:p w14:paraId="17D1DECD" w14:textId="77777777" w:rsidR="00CB2E02" w:rsidRPr="00352C18" w:rsidRDefault="00CB2E02">
    <w:pPr>
      <w:pStyle w:val="Footer"/>
      <w:ind w:right="360"/>
      <w:rPr>
        <w:sz w:val="19"/>
        <w:szCs w:val="19"/>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1C0DBC" w14:textId="5E45BD30" w:rsidR="00CB2E02" w:rsidRDefault="006D7012" w:rsidP="00EB1063">
    <w:pPr>
      <w:pStyle w:val="Footer"/>
      <w:tabs>
        <w:tab w:val="clear" w:pos="8640"/>
        <w:tab w:val="left" w:pos="5040"/>
      </w:tabs>
      <w:ind w:right="360"/>
      <w:rPr>
        <w:rStyle w:val="PageNumber"/>
        <w:rFonts w:cs="Arial"/>
        <w:sz w:val="20"/>
        <w:szCs w:val="20"/>
      </w:rPr>
    </w:pPr>
    <w:r>
      <w:rPr>
        <w:noProof/>
      </w:rPr>
      <w:drawing>
        <wp:anchor distT="0" distB="0" distL="114300" distR="114300" simplePos="0" relativeHeight="251658240" behindDoc="0" locked="0" layoutInCell="1" allowOverlap="1" wp14:anchorId="318315F5" wp14:editId="7CD743AB">
          <wp:simplePos x="0" y="0"/>
          <wp:positionH relativeFrom="margin">
            <wp:align>right</wp:align>
          </wp:positionH>
          <wp:positionV relativeFrom="paragraph">
            <wp:posOffset>12700</wp:posOffset>
          </wp:positionV>
          <wp:extent cx="1231900" cy="175895"/>
          <wp:effectExtent l="0" t="0" r="6350" b="0"/>
          <wp:wrapSquare wrapText="bothSides"/>
          <wp:docPr id="952172886" name="Picture 952172886" descr="C:\Users\jjdison.SOUTHERNCO\AppData\Local\Microsoft\Windows\INetCacheContent.Word\southernco_h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jdison.SOUTHERNCO\AppData\Local\Microsoft\Windows\INetCacheContent.Word\southernco_h_rg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31900" cy="175895"/>
                  </a:xfrm>
                  <a:prstGeom prst="rect">
                    <a:avLst/>
                  </a:prstGeom>
                  <a:noFill/>
                  <a:ln>
                    <a:noFill/>
                  </a:ln>
                </pic:spPr>
              </pic:pic>
            </a:graphicData>
          </a:graphic>
        </wp:anchor>
      </w:drawing>
    </w:r>
    <w:r w:rsidR="00CB2E02">
      <w:rPr>
        <w:rStyle w:val="PageNumber"/>
        <w:sz w:val="19"/>
        <w:szCs w:val="19"/>
      </w:rPr>
      <w:tab/>
    </w:r>
    <w:r w:rsidR="00CB2E02" w:rsidRPr="008002CB">
      <w:rPr>
        <w:rStyle w:val="PageNumber"/>
        <w:rFonts w:cs="Arial"/>
        <w:sz w:val="20"/>
        <w:szCs w:val="20"/>
      </w:rPr>
      <w:fldChar w:fldCharType="begin"/>
    </w:r>
    <w:r w:rsidR="00CB2E02" w:rsidRPr="008002CB">
      <w:rPr>
        <w:rStyle w:val="PageNumber"/>
        <w:rFonts w:cs="Arial"/>
        <w:sz w:val="20"/>
        <w:szCs w:val="20"/>
      </w:rPr>
      <w:instrText xml:space="preserve"> PAGE </w:instrText>
    </w:r>
    <w:r w:rsidR="00CB2E02" w:rsidRPr="008002CB">
      <w:rPr>
        <w:rStyle w:val="PageNumber"/>
        <w:rFonts w:cs="Arial"/>
        <w:sz w:val="20"/>
        <w:szCs w:val="20"/>
      </w:rPr>
      <w:fldChar w:fldCharType="separate"/>
    </w:r>
    <w:r w:rsidR="00CB2E02">
      <w:rPr>
        <w:rStyle w:val="PageNumber"/>
        <w:rFonts w:cs="Arial"/>
        <w:noProof/>
        <w:sz w:val="20"/>
        <w:szCs w:val="20"/>
      </w:rPr>
      <w:t>xx</w:t>
    </w:r>
    <w:r w:rsidR="00CB2E02" w:rsidRPr="008002CB">
      <w:rPr>
        <w:rStyle w:val="PageNumber"/>
        <w:rFonts w:cs="Arial"/>
        <w:sz w:val="20"/>
        <w:szCs w:val="20"/>
      </w:rPr>
      <w:fldChar w:fldCharType="end"/>
    </w:r>
    <w:r w:rsidR="00CB2E02">
      <w:rPr>
        <w:rStyle w:val="PageNumber"/>
        <w:rFonts w:cs="Arial"/>
        <w:sz w:val="20"/>
        <w:szCs w:val="20"/>
      </w:rPr>
      <w:tab/>
    </w:r>
    <w:r w:rsidR="00A648A6">
      <w:rPr>
        <w:rStyle w:val="PageNumber"/>
        <w:rFonts w:cs="Arial"/>
        <w:sz w:val="20"/>
        <w:szCs w:val="20"/>
      </w:rPr>
      <w:t xml:space="preserve">            </w:t>
    </w:r>
    <w:r w:rsidR="00CB2E02">
      <w:rPr>
        <w:rStyle w:val="PageNumber"/>
        <w:rFonts w:cs="Arial"/>
        <w:sz w:val="20"/>
        <w:szCs w:val="20"/>
      </w:rPr>
      <w:t xml:space="preserve"> </w:t>
    </w:r>
    <w:r w:rsidR="00CB2E02">
      <w:rPr>
        <w:rStyle w:val="PageNumber"/>
        <w:rFonts w:cs="Arial"/>
        <w:sz w:val="20"/>
        <w:szCs w:val="20"/>
      </w:rPr>
      <w:tab/>
    </w:r>
  </w:p>
  <w:p w14:paraId="27F0831B" w14:textId="1167F04A" w:rsidR="00CB2E02" w:rsidRPr="00352C18" w:rsidRDefault="00CB2E02" w:rsidP="00E61AF6">
    <w:pPr>
      <w:pStyle w:val="Footer"/>
      <w:tabs>
        <w:tab w:val="clear" w:pos="8640"/>
        <w:tab w:val="left" w:pos="5040"/>
      </w:tabs>
      <w:spacing w:line="200" w:lineRule="exact"/>
      <w:ind w:right="360"/>
      <w:jc w:val="left"/>
      <w:rPr>
        <w:sz w:val="19"/>
        <w:szCs w:val="19"/>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193B4E" w14:textId="244804DE" w:rsidR="00CB2E02" w:rsidRDefault="00CB2E02" w:rsidP="00DB641B">
    <w:pPr>
      <w:pStyle w:val="Footer"/>
      <w:jc w:val="right"/>
      <w:rPr>
        <w:rStyle w:val="PageNumber"/>
        <w:rFonts w:cs="Arial"/>
        <w:sz w:val="20"/>
        <w:szCs w:val="20"/>
      </w:rPr>
    </w:pPr>
    <w:r>
      <w:rPr>
        <w:noProof/>
      </w:rPr>
      <w:drawing>
        <wp:inline distT="0" distB="0" distL="0" distR="0" wp14:anchorId="29A1B5A4" wp14:editId="3BC22520">
          <wp:extent cx="2622550" cy="374650"/>
          <wp:effectExtent l="0" t="0" r="6350" b="6350"/>
          <wp:docPr id="947311074" name="Picture 947311074" descr="C:\Users\jjdison.SOUTHERNCO\AppData\Local\Microsoft\Windows\INetCacheContent.Word\southernco_h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jdison.SOUTHERNCO\AppData\Local\Microsoft\Windows\INetCacheContent.Word\southernco_h_rg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22550" cy="374650"/>
                  </a:xfrm>
                  <a:prstGeom prst="rect">
                    <a:avLst/>
                  </a:prstGeom>
                  <a:noFill/>
                  <a:ln>
                    <a:noFill/>
                  </a:ln>
                </pic:spPr>
              </pic:pic>
            </a:graphicData>
          </a:graphic>
        </wp:inline>
      </w:drawing>
    </w:r>
  </w:p>
  <w:p w14:paraId="79EF6CA5" w14:textId="75018500" w:rsidR="00CB2E02" w:rsidRPr="00674D28" w:rsidRDefault="00CB2E02" w:rsidP="00E61AF6">
    <w:pPr>
      <w:pStyle w:val="Footer"/>
      <w:spacing w:line="200" w:lineRule="exact"/>
      <w:jc w:val="left"/>
      <w:rPr>
        <w:rStyle w:val="PageNumber"/>
        <w:rFonts w:cs="Arial"/>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A4F563" w14:textId="7461FEE1" w:rsidR="00CB2E02" w:rsidRDefault="00A648A6" w:rsidP="00DB641B">
    <w:pPr>
      <w:pStyle w:val="Footer"/>
      <w:rPr>
        <w:rStyle w:val="PageNumber"/>
        <w:sz w:val="19"/>
        <w:szCs w:val="19"/>
      </w:rPr>
    </w:pPr>
    <w:r>
      <w:rPr>
        <w:rStyle w:val="PageNumber"/>
        <w:sz w:val="19"/>
        <w:szCs w:val="19"/>
      </w:rPr>
      <w:t xml:space="preserve"> </w:t>
    </w:r>
    <w:r w:rsidR="00CB2E02">
      <w:rPr>
        <w:rStyle w:val="PageNumber"/>
        <w:sz w:val="19"/>
        <w:szCs w:val="19"/>
      </w:rPr>
      <w:tab/>
    </w:r>
    <w:r w:rsidR="00CB2E02">
      <w:rPr>
        <w:rStyle w:val="PageNumber"/>
        <w:sz w:val="19"/>
        <w:szCs w:val="19"/>
      </w:rPr>
      <w:fldChar w:fldCharType="begin"/>
    </w:r>
    <w:r w:rsidR="00CB2E02">
      <w:rPr>
        <w:rStyle w:val="PageNumber"/>
        <w:sz w:val="19"/>
        <w:szCs w:val="19"/>
      </w:rPr>
      <w:instrText xml:space="preserve"> PAGE    \* MERGEFORMAT </w:instrText>
    </w:r>
    <w:r w:rsidR="00CB2E02">
      <w:rPr>
        <w:rStyle w:val="PageNumber"/>
        <w:sz w:val="19"/>
        <w:szCs w:val="19"/>
      </w:rPr>
      <w:fldChar w:fldCharType="separate"/>
    </w:r>
    <w:r w:rsidR="00CB2E02">
      <w:rPr>
        <w:rStyle w:val="PageNumber"/>
        <w:noProof/>
        <w:sz w:val="19"/>
        <w:szCs w:val="19"/>
      </w:rPr>
      <w:t>i</w:t>
    </w:r>
    <w:r w:rsidR="00CB2E02">
      <w:rPr>
        <w:rStyle w:val="PageNumber"/>
        <w:sz w:val="19"/>
        <w:szCs w:val="19"/>
      </w:rPr>
      <w:fldChar w:fldCharType="end"/>
    </w:r>
    <w:r w:rsidR="00CB2E02">
      <w:rPr>
        <w:rStyle w:val="PageNumber"/>
        <w:sz w:val="19"/>
        <w:szCs w:val="19"/>
      </w:rPr>
      <w:tab/>
    </w:r>
    <w:r w:rsidR="00CB2E02">
      <w:rPr>
        <w:noProof/>
      </w:rPr>
      <w:drawing>
        <wp:inline distT="0" distB="0" distL="0" distR="0" wp14:anchorId="22172095" wp14:editId="6C49B371">
          <wp:extent cx="1231900" cy="175986"/>
          <wp:effectExtent l="0" t="0" r="6350" b="0"/>
          <wp:docPr id="496185323" name="Picture 496185323" descr="C:\Users\jjdison.SOUTHERNCO\AppData\Local\Microsoft\Windows\INetCacheContent.Word\southernco_h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jdison.SOUTHERNCO\AppData\Local\Microsoft\Windows\INetCacheContent.Word\southernco_h_rg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6888" cy="178127"/>
                  </a:xfrm>
                  <a:prstGeom prst="rect">
                    <a:avLst/>
                  </a:prstGeom>
                  <a:noFill/>
                  <a:ln>
                    <a:noFill/>
                  </a:ln>
                </pic:spPr>
              </pic:pic>
            </a:graphicData>
          </a:graphic>
        </wp:inline>
      </w:drawing>
    </w:r>
  </w:p>
  <w:p w14:paraId="31FBA22B" w14:textId="13641E55" w:rsidR="00CB2E02" w:rsidRPr="00DB641B" w:rsidRDefault="00CB2E02" w:rsidP="00E61AF6">
    <w:pPr>
      <w:pStyle w:val="Footer"/>
      <w:spacing w:line="200" w:lineRule="exact"/>
      <w:jc w:val="left"/>
      <w:rPr>
        <w:rStyle w:val="PageNumber"/>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409702" w14:textId="7E6DF08C" w:rsidR="00CB2E02" w:rsidRDefault="00E25CCA">
    <w:pPr>
      <w:pStyle w:val="Footer"/>
    </w:pPr>
    <w:r>
      <w:rPr>
        <w:noProof/>
      </w:rPr>
      <w:drawing>
        <wp:anchor distT="0" distB="0" distL="114300" distR="114300" simplePos="0" relativeHeight="251659264" behindDoc="0" locked="0" layoutInCell="1" allowOverlap="1" wp14:anchorId="2A193ECC" wp14:editId="43A4D9DB">
          <wp:simplePos x="0" y="0"/>
          <wp:positionH relativeFrom="margin">
            <wp:align>right</wp:align>
          </wp:positionH>
          <wp:positionV relativeFrom="paragraph">
            <wp:posOffset>10795</wp:posOffset>
          </wp:positionV>
          <wp:extent cx="1231900" cy="175895"/>
          <wp:effectExtent l="0" t="0" r="6350" b="0"/>
          <wp:wrapSquare wrapText="bothSides"/>
          <wp:docPr id="2066" name="Picture 2066" descr="C:\Users\jjdison.SOUTHERNCO\AppData\Local\Microsoft\Windows\INetCacheContent.Word\southernco_h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jdison.SOUTHERNCO\AppData\Local\Microsoft\Windows\INetCacheContent.Word\southernco_h_rg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31900" cy="175895"/>
                  </a:xfrm>
                  <a:prstGeom prst="rect">
                    <a:avLst/>
                  </a:prstGeom>
                  <a:noFill/>
                  <a:ln>
                    <a:noFill/>
                  </a:ln>
                </pic:spPr>
              </pic:pic>
            </a:graphicData>
          </a:graphic>
        </wp:anchor>
      </w:drawing>
    </w:r>
    <w:r w:rsidR="00CB2E02">
      <w:tab/>
    </w:r>
    <w:sdt>
      <w:sdtPr>
        <w:id w:val="-493034686"/>
        <w:docPartObj>
          <w:docPartGallery w:val="Page Numbers (Bottom of Page)"/>
          <w:docPartUnique/>
        </w:docPartObj>
      </w:sdtPr>
      <w:sdtEndPr>
        <w:rPr>
          <w:noProof/>
        </w:rPr>
      </w:sdtEndPr>
      <w:sdtContent>
        <w:r w:rsidR="00CB2E02">
          <w:fldChar w:fldCharType="begin"/>
        </w:r>
        <w:r w:rsidR="00CB2E02">
          <w:instrText xml:space="preserve"> PAGE   \* MERGEFORMAT </w:instrText>
        </w:r>
        <w:r w:rsidR="00CB2E02">
          <w:fldChar w:fldCharType="separate"/>
        </w:r>
        <w:r w:rsidR="00CB2E02">
          <w:rPr>
            <w:noProof/>
          </w:rPr>
          <w:t>6</w:t>
        </w:r>
        <w:r w:rsidR="00CB2E02">
          <w:rPr>
            <w:noProof/>
          </w:rPr>
          <w:fldChar w:fldCharType="end"/>
        </w:r>
        <w:r w:rsidR="00CB2E02">
          <w:rPr>
            <w:noProof/>
          </w:rPr>
          <w:tab/>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C7891A" w14:textId="77777777" w:rsidR="00B260F8" w:rsidRDefault="00B260F8">
      <w:r>
        <w:separator/>
      </w:r>
    </w:p>
    <w:p w14:paraId="61E3A4E0" w14:textId="77777777" w:rsidR="00B260F8" w:rsidRDefault="00B260F8"/>
  </w:footnote>
  <w:footnote w:type="continuationSeparator" w:id="0">
    <w:p w14:paraId="2B3E3DA1" w14:textId="77777777" w:rsidR="00B260F8" w:rsidRDefault="00B260F8">
      <w:r>
        <w:continuationSeparator/>
      </w:r>
    </w:p>
    <w:p w14:paraId="0DCF213C" w14:textId="77777777" w:rsidR="00B260F8" w:rsidRDefault="00B260F8"/>
  </w:footnote>
  <w:footnote w:type="continuationNotice" w:id="1">
    <w:p w14:paraId="0A84B8E4" w14:textId="77777777" w:rsidR="00B260F8" w:rsidRDefault="00B260F8"/>
    <w:p w14:paraId="20B5C691" w14:textId="77777777" w:rsidR="00B260F8" w:rsidRDefault="00B260F8"/>
  </w:footnote>
  <w:footnote w:id="2">
    <w:p w14:paraId="5926E5DC" w14:textId="3388F783" w:rsidR="00CB2E02" w:rsidRPr="00987C76" w:rsidRDefault="00CB2E02" w:rsidP="00F75282">
      <w:pPr>
        <w:pStyle w:val="FootnoteText"/>
        <w:spacing w:line="240" w:lineRule="auto"/>
      </w:pPr>
      <w:r w:rsidRPr="00987C76">
        <w:rPr>
          <w:rStyle w:val="FootnoteReference"/>
        </w:rPr>
        <w:footnoteRef/>
      </w:r>
      <w:r w:rsidRPr="00987C76">
        <w:t xml:space="preserve"> See </w:t>
      </w:r>
      <w:r>
        <w:fldChar w:fldCharType="begin"/>
      </w:r>
      <w:r>
        <w:instrText xml:space="preserve"> REF _Ref83891869 \h </w:instrText>
      </w:r>
      <w:r>
        <w:fldChar w:fldCharType="separate"/>
      </w:r>
      <w:r w:rsidR="00161C58">
        <w:t xml:space="preserve">Figure </w:t>
      </w:r>
      <w:r w:rsidR="00161C58">
        <w:rPr>
          <w:noProof/>
        </w:rPr>
        <w:t>I</w:t>
      </w:r>
      <w:r w:rsidR="00161C58">
        <w:t>.</w:t>
      </w:r>
      <w:r w:rsidR="00161C58">
        <w:rPr>
          <w:noProof/>
        </w:rPr>
        <w:t>3</w:t>
      </w:r>
      <w:r>
        <w:fldChar w:fldCharType="end"/>
      </w:r>
      <w:r>
        <w:t xml:space="preserve"> </w:t>
      </w:r>
      <w:r w:rsidRPr="00987C76">
        <w:t>in Section I.</w:t>
      </w:r>
    </w:p>
  </w:footnote>
  <w:footnote w:id="3">
    <w:p w14:paraId="37A45FD0" w14:textId="1E1B33E2" w:rsidR="007342AB" w:rsidRPr="00987C76" w:rsidRDefault="007342AB" w:rsidP="007342AB">
      <w:pPr>
        <w:pStyle w:val="FootnoteText"/>
        <w:spacing w:line="240" w:lineRule="auto"/>
      </w:pPr>
      <w:r w:rsidRPr="00987C76">
        <w:rPr>
          <w:rStyle w:val="FootnoteReference"/>
        </w:rPr>
        <w:footnoteRef/>
      </w:r>
      <w:r w:rsidRPr="00987C76">
        <w:rPr>
          <w:rStyle w:val="FootnoteReference"/>
        </w:rPr>
        <w:t xml:space="preserve"> </w:t>
      </w:r>
      <w:r>
        <w:t>Economic Error was derived from EIA</w:t>
      </w:r>
      <w:r w:rsidR="00FF6E81">
        <w:t>’s</w:t>
      </w:r>
      <w:r>
        <w:t xml:space="preserve"> 2023 Annual Energy Outlook</w:t>
      </w:r>
    </w:p>
  </w:footnote>
  <w:footnote w:id="4">
    <w:p w14:paraId="444D192A" w14:textId="7CA9AF07" w:rsidR="00CB2E02" w:rsidRPr="00987C76" w:rsidRDefault="00CB2E02" w:rsidP="001359A3">
      <w:pPr>
        <w:pStyle w:val="FootnoteText"/>
        <w:spacing w:line="240" w:lineRule="auto"/>
      </w:pPr>
      <w:r w:rsidRPr="00987C76">
        <w:rPr>
          <w:rStyle w:val="FootnoteReference"/>
        </w:rPr>
        <w:footnoteRef/>
      </w:r>
      <w:r w:rsidRPr="00987C76">
        <w:rPr>
          <w:rStyle w:val="FootnoteReference"/>
        </w:rPr>
        <w:t xml:space="preserve"> </w:t>
      </w:r>
      <w:r>
        <w:t>S</w:t>
      </w:r>
      <w:r w:rsidRPr="00987C76">
        <w:t>ee</w:t>
      </w:r>
      <w:r>
        <w:t xml:space="preserve"> </w:t>
      </w:r>
      <w:r w:rsidR="00FF6E81">
        <w:fldChar w:fldCharType="begin"/>
      </w:r>
      <w:r w:rsidR="00FF6E81">
        <w:instrText xml:space="preserve"> REF _Ref87427747 \h </w:instrText>
      </w:r>
      <w:r w:rsidR="00FF6E81">
        <w:fldChar w:fldCharType="separate"/>
      </w:r>
      <w:r w:rsidR="00FF6E81">
        <w:t xml:space="preserve">Table </w:t>
      </w:r>
      <w:r w:rsidR="00FF6E81">
        <w:rPr>
          <w:noProof/>
        </w:rPr>
        <w:t>I</w:t>
      </w:r>
      <w:r w:rsidR="00FF6E81">
        <w:noBreakHyphen/>
      </w:r>
      <w:r w:rsidR="00FF6E81">
        <w:rPr>
          <w:noProof/>
        </w:rPr>
        <w:t>4</w:t>
      </w:r>
      <w:r w:rsidR="00FF6E81">
        <w:fldChar w:fldCharType="end"/>
      </w:r>
      <w:r>
        <w:t xml:space="preserve"> in Section I</w:t>
      </w:r>
      <w:r w:rsidRPr="00987C76">
        <w:t>.</w:t>
      </w:r>
    </w:p>
  </w:footnote>
  <w:footnote w:id="5">
    <w:p w14:paraId="5CCB3DD8" w14:textId="37CECC5D" w:rsidR="00CB2E02" w:rsidRDefault="00CB2E02" w:rsidP="00F75282">
      <w:pPr>
        <w:pStyle w:val="FootnoteText"/>
        <w:spacing w:line="240" w:lineRule="auto"/>
      </w:pPr>
      <w:r w:rsidRPr="00987C76">
        <w:rPr>
          <w:rStyle w:val="FootnoteReference"/>
        </w:rPr>
        <w:footnoteRef/>
      </w:r>
      <w:r>
        <w:t xml:space="preserve"> </w:t>
      </w:r>
      <w:r w:rsidRPr="00987C76">
        <w:t xml:space="preserve">See </w:t>
      </w:r>
      <w:hyperlink w:anchor="_Incremental_Cold_Weather" w:history="1">
        <w:r w:rsidRPr="00987C76">
          <w:rPr>
            <w:rStyle w:val="Hyperlink"/>
          </w:rPr>
          <w:fldChar w:fldCharType="begin"/>
        </w:r>
        <w:r w:rsidRPr="00987C76">
          <w:rPr>
            <w:rStyle w:val="Hyperlink"/>
          </w:rPr>
          <w:instrText xml:space="preserve"> REF _Ref513785129 \h  \* MERGEFORMAT </w:instrText>
        </w:r>
        <w:r w:rsidRPr="00987C76">
          <w:rPr>
            <w:rStyle w:val="Hyperlink"/>
          </w:rPr>
        </w:r>
        <w:r w:rsidRPr="00987C76">
          <w:rPr>
            <w:rStyle w:val="Hyperlink"/>
          </w:rPr>
          <w:fldChar w:fldCharType="separate"/>
        </w:r>
        <w:r w:rsidR="00161C58">
          <w:t xml:space="preserve">Figure </w:t>
        </w:r>
        <w:r w:rsidR="00161C58">
          <w:rPr>
            <w:noProof/>
          </w:rPr>
          <w:t>I</w:t>
        </w:r>
        <w:r w:rsidR="00161C58">
          <w:t>.</w:t>
        </w:r>
        <w:r w:rsidR="00161C58">
          <w:rPr>
            <w:noProof/>
          </w:rPr>
          <w:t>8</w:t>
        </w:r>
        <w:r w:rsidRPr="00987C76">
          <w:rPr>
            <w:rStyle w:val="Hyperlink"/>
          </w:rPr>
          <w:fldChar w:fldCharType="end"/>
        </w:r>
      </w:hyperlink>
      <w:r w:rsidRPr="00987C76">
        <w:t xml:space="preserve"> in Section I.</w:t>
      </w:r>
    </w:p>
  </w:footnote>
  <w:footnote w:id="6">
    <w:p w14:paraId="7C105C49" w14:textId="7B2609C0" w:rsidR="00CB2E02" w:rsidRDefault="00CB2E02" w:rsidP="00F75282">
      <w:pPr>
        <w:pStyle w:val="FootnoteText"/>
        <w:spacing w:line="240" w:lineRule="auto"/>
      </w:pPr>
      <w:r>
        <w:rPr>
          <w:rStyle w:val="FootnoteReference"/>
        </w:rPr>
        <w:footnoteRef/>
      </w:r>
      <w:r>
        <w:t xml:space="preserve"> </w:t>
      </w:r>
      <w:r>
        <w:rPr>
          <w:szCs w:val="24"/>
        </w:rPr>
        <w:t>That is, stated in terms of winter capacity ratings and winter weather-normal peak demand.</w:t>
      </w:r>
    </w:p>
  </w:footnote>
  <w:footnote w:id="7">
    <w:p w14:paraId="1F0B904E" w14:textId="77777777" w:rsidR="00CB2E02" w:rsidRDefault="00CB2E02">
      <w:pPr>
        <w:pStyle w:val="FootnoteText"/>
      </w:pPr>
      <w:r>
        <w:rPr>
          <w:rStyle w:val="FootnoteReference"/>
        </w:rPr>
        <w:footnoteRef/>
      </w:r>
      <w:r>
        <w:t xml:space="preserve"> Production Cost plus Reliability Cost plus Incremental Capacity Cost.</w:t>
      </w:r>
    </w:p>
  </w:footnote>
  <w:footnote w:id="8">
    <w:p w14:paraId="6C68955C" w14:textId="4C8EB585" w:rsidR="00CB2E02" w:rsidRDefault="00CB2E02" w:rsidP="00F75282">
      <w:pPr>
        <w:pStyle w:val="FootnoteText"/>
        <w:spacing w:line="240" w:lineRule="auto"/>
      </w:pPr>
      <w:r>
        <w:rPr>
          <w:rStyle w:val="FootnoteReference"/>
        </w:rPr>
        <w:footnoteRef/>
      </w:r>
      <w:r>
        <w:t xml:space="preserve"> In the 20</w:t>
      </w:r>
      <w:r w:rsidR="003C624A">
        <w:t>21</w:t>
      </w:r>
      <w:r>
        <w:t xml:space="preserve"> Reserve Margin Study, “An Economic Study of the System Planning Reserve Margin for the Southern Company System” (January 20</w:t>
      </w:r>
      <w:r w:rsidR="00B5154C">
        <w:t>22</w:t>
      </w:r>
      <w:r>
        <w:t>), the recommended Winter TRM was 26%.</w:t>
      </w:r>
    </w:p>
  </w:footnote>
  <w:footnote w:id="9">
    <w:p w14:paraId="13844A12" w14:textId="4BED6C1E" w:rsidR="0083570D" w:rsidRDefault="0083570D">
      <w:pPr>
        <w:pStyle w:val="FootnoteText"/>
      </w:pPr>
      <w:r>
        <w:rPr>
          <w:rStyle w:val="FootnoteReference"/>
        </w:rPr>
        <w:footnoteRef/>
      </w:r>
      <w:r>
        <w:t xml:space="preserve"> Capacity Benefit Margin (“CBM”) is a firm transport reservation on the transmission system for use during emergencies.</w:t>
      </w:r>
    </w:p>
  </w:footnote>
  <w:footnote w:id="10">
    <w:p w14:paraId="3B4478AC" w14:textId="23C4E4E6" w:rsidR="00CB2E02" w:rsidRDefault="00CB2E02" w:rsidP="005C7E11">
      <w:pPr>
        <w:spacing w:line="240" w:lineRule="auto"/>
        <w:rPr>
          <w:szCs w:val="24"/>
        </w:rPr>
      </w:pPr>
      <w:r>
        <w:rPr>
          <w:rStyle w:val="FootnoteReference"/>
        </w:rPr>
        <w:footnoteRef/>
      </w:r>
      <w:r>
        <w:t xml:space="preserve"> Several</w:t>
      </w:r>
      <w:r>
        <w:rPr>
          <w:szCs w:val="24"/>
        </w:rPr>
        <w:t xml:space="preserve"> CCs have unique designs resulting in their own, unique ambient temperature output curve.</w:t>
      </w:r>
      <w:r w:rsidR="00A648A6">
        <w:rPr>
          <w:szCs w:val="24"/>
        </w:rPr>
        <w:t xml:space="preserve"> </w:t>
      </w:r>
      <w:r w:rsidR="005824F3">
        <w:rPr>
          <w:szCs w:val="24"/>
        </w:rPr>
        <w:t>For simplicity, t</w:t>
      </w:r>
      <w:r>
        <w:rPr>
          <w:szCs w:val="24"/>
        </w:rPr>
        <w:t>hose curves are not shown on the chart.</w:t>
      </w:r>
    </w:p>
    <w:p w14:paraId="4CD62E48" w14:textId="77777777" w:rsidR="00CB2E02" w:rsidRDefault="00CB2E02" w:rsidP="005C7E11">
      <w:pPr>
        <w:pStyle w:val="FootnoteText"/>
      </w:pPr>
    </w:p>
  </w:footnote>
  <w:footnote w:id="11">
    <w:p w14:paraId="78E7A145" w14:textId="36B9E271" w:rsidR="00582244" w:rsidRDefault="00582244">
      <w:pPr>
        <w:pStyle w:val="FootnoteText"/>
      </w:pPr>
      <w:r>
        <w:rPr>
          <w:rStyle w:val="FootnoteReference"/>
        </w:rPr>
        <w:footnoteRef/>
      </w:r>
      <w:r>
        <w:t xml:space="preserve"> T</w:t>
      </w:r>
      <w:r>
        <w:rPr>
          <w:szCs w:val="24"/>
        </w:rPr>
        <w:t>ime-to-repair constraints refers to the reality that a unit may not immediately recover from a cold weather outage as soon as the local temperature rises above its winterization threshold.</w:t>
      </w:r>
    </w:p>
  </w:footnote>
  <w:footnote w:id="12">
    <w:p w14:paraId="450955A5" w14:textId="7411FEF7" w:rsidR="00CB2E02" w:rsidRDefault="00CB2E02">
      <w:pPr>
        <w:pStyle w:val="FootnoteText"/>
      </w:pPr>
      <w:r>
        <w:rPr>
          <w:rStyle w:val="FootnoteReference"/>
        </w:rPr>
        <w:footnoteRef/>
      </w:r>
      <w:r>
        <w:t xml:space="preserve"> Sum of average summer and winter best gate rating from installed and authorized units through 20</w:t>
      </w:r>
      <w:r w:rsidR="004031AA">
        <w:t>22</w:t>
      </w:r>
      <w:r w:rsidR="00496713">
        <w:t>.</w:t>
      </w:r>
    </w:p>
  </w:footnote>
  <w:footnote w:id="13">
    <w:p w14:paraId="26279682" w14:textId="13AA81E4" w:rsidR="458F86C6" w:rsidRDefault="458F86C6" w:rsidP="002D1DAD">
      <w:pPr>
        <w:pStyle w:val="FootnoteText"/>
        <w:spacing w:line="240" w:lineRule="auto"/>
        <w:rPr>
          <w:b/>
          <w:bCs/>
        </w:rPr>
      </w:pPr>
      <w:r w:rsidRPr="458F86C6">
        <w:rPr>
          <w:rStyle w:val="FootnoteReference"/>
        </w:rPr>
        <w:footnoteRef/>
      </w:r>
      <w:r>
        <w:t xml:space="preserve"> E</w:t>
      </w:r>
      <w:r w:rsidRPr="002D1DAD">
        <w:t xml:space="preserve">xcept as otherwise stated, the </w:t>
      </w:r>
      <w:r w:rsidR="008270B5">
        <w:t>Operating</w:t>
      </w:r>
      <w:r w:rsidRPr="002D1DAD">
        <w:t xml:space="preserve"> Companies maintain the right to use the electricity and all environmental attributes associated with all renewable projects discussed in this report for the benefit of its customers. This includes the right to use the electricity and the environmental attributes for the service of customers, as well as the right to sell environmental attributes, separately or bundled with electricity, to third parties.</w:t>
      </w:r>
    </w:p>
  </w:footnote>
  <w:footnote w:id="14">
    <w:p w14:paraId="46AE51D0" w14:textId="164E5961" w:rsidR="00CB2E02" w:rsidRDefault="00CB2E02" w:rsidP="00AC0A19">
      <w:pPr>
        <w:pStyle w:val="FootnoteText"/>
        <w:spacing w:line="240" w:lineRule="auto"/>
      </w:pPr>
      <w:r>
        <w:rPr>
          <w:rStyle w:val="FootnoteReference"/>
        </w:rPr>
        <w:footnoteRef/>
      </w:r>
      <w:r>
        <w:t xml:space="preserve"> Wind capacity listed includes certain fixed delivery wind energy contracts. The total wind capacity shown includes the amounts delivered from these contracts coincident with the System peak.</w:t>
      </w:r>
    </w:p>
  </w:footnote>
  <w:footnote w:id="15">
    <w:p w14:paraId="39C0140B" w14:textId="7F153AF9" w:rsidR="00CB2E02" w:rsidRDefault="00CB2E02" w:rsidP="00CB704B">
      <w:pPr>
        <w:pStyle w:val="FootnoteText"/>
        <w:spacing w:line="240" w:lineRule="auto"/>
      </w:pPr>
      <w:r>
        <w:rPr>
          <w:rStyle w:val="FootnoteReference"/>
        </w:rPr>
        <w:footnoteRef/>
      </w:r>
      <w:r>
        <w:t xml:space="preserve"> While the survey only included customers from two Operating Companies, the results are considered </w:t>
      </w:r>
      <w:r w:rsidR="0068474A">
        <w:t>applicable</w:t>
      </w:r>
      <w:r>
        <w:t xml:space="preserve"> for all Operating Companies.</w:t>
      </w:r>
    </w:p>
  </w:footnote>
  <w:footnote w:id="16">
    <w:p w14:paraId="74450039" w14:textId="77777777" w:rsidR="001D622B" w:rsidRDefault="001D622B" w:rsidP="001D622B">
      <w:pPr>
        <w:pStyle w:val="FootnoteText"/>
        <w:spacing w:line="240" w:lineRule="auto"/>
      </w:pPr>
      <w:r>
        <w:rPr>
          <w:rStyle w:val="FootnoteReference"/>
        </w:rPr>
        <w:footnoteRef/>
      </w:r>
      <w:r>
        <w:t xml:space="preserve"> In the 2021 Reserve Margin Study, “An Economic Study of the System Planning Reserve Margin for the Southern Company System” (January 2022), the recommended Winter TRM was 26%.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E43069" w14:textId="0C7D6A9E" w:rsidR="00CB2E02" w:rsidRPr="006A5F65" w:rsidRDefault="0037105D" w:rsidP="000D0EAB">
    <w:pPr>
      <w:pStyle w:val="Header"/>
      <w:jc w:val="center"/>
      <w:rPr>
        <w:b/>
        <w:sz w:val="18"/>
      </w:rPr>
    </w:pPr>
    <w:r w:rsidRPr="006A5F65">
      <w:rPr>
        <w:b/>
        <w:sz w:val="18"/>
      </w:rPr>
      <w:t>PUBLIC DISCLOSURE</w:t>
    </w:r>
  </w:p>
  <w:p w14:paraId="4CF05C94" w14:textId="77777777" w:rsidR="00CB2E02" w:rsidRDefault="00CB2E0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45D5D8" w14:textId="0A5D3F5D" w:rsidR="00CB2E02" w:rsidRPr="006A5F65" w:rsidRDefault="00BB56FD" w:rsidP="000D0EAB">
    <w:pPr>
      <w:pStyle w:val="Header"/>
      <w:jc w:val="center"/>
      <w:rPr>
        <w:b/>
        <w:sz w:val="18"/>
      </w:rPr>
    </w:pPr>
    <w:r w:rsidRPr="006A5F65">
      <w:rPr>
        <w:b/>
        <w:sz w:val="18"/>
      </w:rPr>
      <w:t>P</w:t>
    </w:r>
    <w:r w:rsidR="0037105D" w:rsidRPr="006A5F65">
      <w:rPr>
        <w:b/>
        <w:sz w:val="18"/>
      </w:rPr>
      <w:t>UBLIC DISCLOSURE</w:t>
    </w:r>
  </w:p>
  <w:p w14:paraId="0822BCB1" w14:textId="77777777" w:rsidR="00986127" w:rsidRPr="00E2410B" w:rsidRDefault="00986127" w:rsidP="00986127">
    <w:pPr>
      <w:pStyle w:val="Header"/>
      <w:jc w:val="center"/>
      <w:rPr>
        <w:b/>
        <w:color w:val="FF0000"/>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CCC4199C"/>
    <w:lvl w:ilvl="0">
      <w:start w:val="1"/>
      <w:numFmt w:val="decimal"/>
      <w:pStyle w:val="ListNumber"/>
      <w:lvlText w:val="%1."/>
      <w:lvlJc w:val="left"/>
      <w:pPr>
        <w:tabs>
          <w:tab w:val="num" w:pos="360"/>
        </w:tabs>
        <w:ind w:left="360" w:hanging="360"/>
      </w:pPr>
    </w:lvl>
  </w:abstractNum>
  <w:abstractNum w:abstractNumId="1" w15:restartNumberingAfterBreak="0">
    <w:nsid w:val="01176F42"/>
    <w:multiLevelType w:val="multilevel"/>
    <w:tmpl w:val="0409001D"/>
    <w:lvl w:ilvl="0">
      <w:start w:val="1"/>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left"/>
      <w:pPr>
        <w:ind w:left="1800" w:hanging="360"/>
      </w:pPr>
    </w:lvl>
    <w:lvl w:ilvl="3">
      <w:start w:val="1"/>
      <w:numFmt w:val="decimal"/>
      <w:lvlText w:val="(%4)"/>
      <w:lvlJc w:val="left"/>
      <w:pPr>
        <w:ind w:left="2160" w:hanging="360"/>
      </w:pPr>
    </w:lvl>
    <w:lvl w:ilvl="4">
      <w:start w:val="1"/>
      <w:numFmt w:val="lowerLetter"/>
      <w:lvlText w:val="(%5)"/>
      <w:lvlJc w:val="left"/>
      <w:pPr>
        <w:ind w:left="2520" w:hanging="360"/>
      </w:pPr>
    </w:lvl>
    <w:lvl w:ilvl="5">
      <w:start w:val="1"/>
      <w:numFmt w:val="lowerRoman"/>
      <w:lvlText w:val="(%6)"/>
      <w:lvlJc w:val="left"/>
      <w:pPr>
        <w:ind w:left="2880" w:hanging="360"/>
      </w:pPr>
    </w:lvl>
    <w:lvl w:ilvl="6">
      <w:start w:val="1"/>
      <w:numFmt w:val="decimal"/>
      <w:lvlText w:val="%7."/>
      <w:lvlJc w:val="left"/>
      <w:pPr>
        <w:ind w:left="3240" w:hanging="360"/>
      </w:pPr>
    </w:lvl>
    <w:lvl w:ilvl="7">
      <w:start w:val="1"/>
      <w:numFmt w:val="lowerLetter"/>
      <w:lvlText w:val="%8."/>
      <w:lvlJc w:val="left"/>
      <w:pPr>
        <w:ind w:left="3600" w:hanging="360"/>
      </w:pPr>
    </w:lvl>
    <w:lvl w:ilvl="8">
      <w:start w:val="1"/>
      <w:numFmt w:val="lowerRoman"/>
      <w:lvlText w:val="%9."/>
      <w:lvlJc w:val="left"/>
      <w:pPr>
        <w:ind w:left="3960" w:hanging="360"/>
      </w:pPr>
    </w:lvl>
  </w:abstractNum>
  <w:abstractNum w:abstractNumId="2" w15:restartNumberingAfterBreak="0">
    <w:nsid w:val="01A42DCB"/>
    <w:multiLevelType w:val="hybridMultilevel"/>
    <w:tmpl w:val="1BD8889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49462B0"/>
    <w:multiLevelType w:val="hybridMultilevel"/>
    <w:tmpl w:val="4B66DFDA"/>
    <w:lvl w:ilvl="0" w:tplc="5CFC903A">
      <w:start w:val="1"/>
      <w:numFmt w:val="lowerLetter"/>
      <w:lvlText w:val="%1."/>
      <w:lvlJc w:val="left"/>
      <w:pPr>
        <w:ind w:left="720" w:hanging="360"/>
      </w:pPr>
      <w:rPr>
        <w:rFonts w:hint="default"/>
        <w:b w:val="0"/>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AB41B8"/>
    <w:multiLevelType w:val="hybridMultilevel"/>
    <w:tmpl w:val="FAD08E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96A593E"/>
    <w:multiLevelType w:val="hybridMultilevel"/>
    <w:tmpl w:val="2210027E"/>
    <w:lvl w:ilvl="0" w:tplc="4A6091AE">
      <w:start w:val="1"/>
      <w:numFmt w:val="bullet"/>
      <w:pStyle w:val="Bullets"/>
      <w:lvlText w:val=""/>
      <w:lvlJc w:val="left"/>
      <w:pPr>
        <w:tabs>
          <w:tab w:val="num" w:pos="720"/>
        </w:tabs>
        <w:ind w:left="720" w:hanging="360"/>
      </w:pPr>
      <w:rPr>
        <w:rFonts w:ascii="Wingdings" w:hAnsi="Wingdings" w:hint="default"/>
        <w:color w:val="433B67"/>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F1955B5"/>
    <w:multiLevelType w:val="hybridMultilevel"/>
    <w:tmpl w:val="8126F6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FC73DCC"/>
    <w:multiLevelType w:val="hybridMultilevel"/>
    <w:tmpl w:val="1822353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4C25097"/>
    <w:multiLevelType w:val="multilevel"/>
    <w:tmpl w:val="04E2C87A"/>
    <w:styleLink w:val="Headings"/>
    <w:lvl w:ilvl="0">
      <w:start w:val="1"/>
      <w:numFmt w:val="upperRoman"/>
      <w:pStyle w:val="Heading1"/>
      <w:suff w:val="space"/>
      <w:lvlText w:val="%1."/>
      <w:lvlJc w:val="left"/>
      <w:pPr>
        <w:ind w:left="360" w:hanging="360"/>
      </w:pPr>
      <w:rPr>
        <w:rFonts w:ascii="Arial" w:hAnsi="Arial" w:hint="default"/>
        <w:sz w:val="21"/>
      </w:rPr>
    </w:lvl>
    <w:lvl w:ilvl="1">
      <w:start w:val="1"/>
      <w:numFmt w:val="upperLetter"/>
      <w:pStyle w:val="Heading2"/>
      <w:suff w:val="space"/>
      <w:lvlText w:val="%2. "/>
      <w:lvlJc w:val="left"/>
      <w:pPr>
        <w:ind w:left="630" w:hanging="360"/>
      </w:pPr>
      <w:rPr>
        <w:rFonts w:hint="default"/>
      </w:rPr>
    </w:lvl>
    <w:lvl w:ilvl="2">
      <w:start w:val="1"/>
      <w:numFmt w:val="decimal"/>
      <w:suff w:val="space"/>
      <w:lvlText w:val="%2.%3"/>
      <w:lvlJc w:val="left"/>
      <w:pPr>
        <w:ind w:left="1080" w:hanging="360"/>
      </w:pPr>
      <w:rPr>
        <w:rFonts w:hint="default"/>
      </w:rPr>
    </w:lvl>
    <w:lvl w:ilvl="3">
      <w:start w:val="1"/>
      <w:numFmt w:val="decimal"/>
      <w:suff w:val="space"/>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253E0131"/>
    <w:multiLevelType w:val="hybridMultilevel"/>
    <w:tmpl w:val="CD9EAA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B621134"/>
    <w:multiLevelType w:val="hybridMultilevel"/>
    <w:tmpl w:val="6B229534"/>
    <w:lvl w:ilvl="0" w:tplc="0409000F">
      <w:start w:val="1"/>
      <w:numFmt w:val="decimal"/>
      <w:lvlText w:val="%1."/>
      <w:lvlJc w:val="left"/>
      <w:pPr>
        <w:ind w:left="3600" w:hanging="360"/>
      </w:p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1" w15:restartNumberingAfterBreak="0">
    <w:nsid w:val="2EE12A77"/>
    <w:multiLevelType w:val="multilevel"/>
    <w:tmpl w:val="8C7619EE"/>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F63151E"/>
    <w:multiLevelType w:val="hybridMultilevel"/>
    <w:tmpl w:val="8536071E"/>
    <w:lvl w:ilvl="0" w:tplc="0409000F">
      <w:start w:val="1"/>
      <w:numFmt w:val="decimal"/>
      <w:lvlText w:val="%1."/>
      <w:lvlJc w:val="left"/>
      <w:pPr>
        <w:ind w:left="-5130" w:hanging="360"/>
      </w:pPr>
    </w:lvl>
    <w:lvl w:ilvl="1" w:tplc="04090019" w:tentative="1">
      <w:start w:val="1"/>
      <w:numFmt w:val="lowerLetter"/>
      <w:lvlText w:val="%2."/>
      <w:lvlJc w:val="left"/>
      <w:pPr>
        <w:ind w:left="-4410" w:hanging="360"/>
      </w:pPr>
    </w:lvl>
    <w:lvl w:ilvl="2" w:tplc="0409001B" w:tentative="1">
      <w:start w:val="1"/>
      <w:numFmt w:val="lowerRoman"/>
      <w:lvlText w:val="%3."/>
      <w:lvlJc w:val="right"/>
      <w:pPr>
        <w:ind w:left="-369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2250" w:hanging="360"/>
      </w:pPr>
    </w:lvl>
    <w:lvl w:ilvl="5" w:tplc="0409001B" w:tentative="1">
      <w:start w:val="1"/>
      <w:numFmt w:val="lowerRoman"/>
      <w:lvlText w:val="%6."/>
      <w:lvlJc w:val="right"/>
      <w:pPr>
        <w:ind w:left="-1530" w:hanging="180"/>
      </w:pPr>
    </w:lvl>
    <w:lvl w:ilvl="6" w:tplc="0409000F" w:tentative="1">
      <w:start w:val="1"/>
      <w:numFmt w:val="decimal"/>
      <w:lvlText w:val="%7."/>
      <w:lvlJc w:val="left"/>
      <w:pPr>
        <w:ind w:left="-810" w:hanging="360"/>
      </w:pPr>
    </w:lvl>
    <w:lvl w:ilvl="7" w:tplc="04090019" w:tentative="1">
      <w:start w:val="1"/>
      <w:numFmt w:val="lowerLetter"/>
      <w:lvlText w:val="%8."/>
      <w:lvlJc w:val="left"/>
      <w:pPr>
        <w:ind w:left="-90" w:hanging="360"/>
      </w:pPr>
    </w:lvl>
    <w:lvl w:ilvl="8" w:tplc="0409001B" w:tentative="1">
      <w:start w:val="1"/>
      <w:numFmt w:val="lowerRoman"/>
      <w:lvlText w:val="%9."/>
      <w:lvlJc w:val="right"/>
      <w:pPr>
        <w:ind w:left="630" w:hanging="180"/>
      </w:pPr>
    </w:lvl>
  </w:abstractNum>
  <w:abstractNum w:abstractNumId="13" w15:restartNumberingAfterBreak="0">
    <w:nsid w:val="2FDB31A4"/>
    <w:multiLevelType w:val="hybridMultilevel"/>
    <w:tmpl w:val="4D06593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5C17A4A"/>
    <w:multiLevelType w:val="multilevel"/>
    <w:tmpl w:val="04E2C87A"/>
    <w:numStyleLink w:val="Headings"/>
  </w:abstractNum>
  <w:abstractNum w:abstractNumId="15" w15:restartNumberingAfterBreak="0">
    <w:nsid w:val="35E135FF"/>
    <w:multiLevelType w:val="hybridMultilevel"/>
    <w:tmpl w:val="5F62A3D6"/>
    <w:lvl w:ilvl="0" w:tplc="6D7484E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9C62655"/>
    <w:multiLevelType w:val="hybridMultilevel"/>
    <w:tmpl w:val="6B0AD1B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3B8D5551"/>
    <w:multiLevelType w:val="hybridMultilevel"/>
    <w:tmpl w:val="93AEEF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C8159D6"/>
    <w:multiLevelType w:val="hybridMultilevel"/>
    <w:tmpl w:val="1DD2597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660202C"/>
    <w:multiLevelType w:val="hybridMultilevel"/>
    <w:tmpl w:val="02861F4E"/>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4AA90800"/>
    <w:multiLevelType w:val="hybridMultilevel"/>
    <w:tmpl w:val="4A82F0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C15B5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4E904044"/>
    <w:multiLevelType w:val="hybridMultilevel"/>
    <w:tmpl w:val="602044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3687A73"/>
    <w:multiLevelType w:val="hybridMultilevel"/>
    <w:tmpl w:val="E1A63B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8D22619"/>
    <w:multiLevelType w:val="hybridMultilevel"/>
    <w:tmpl w:val="CD9EAA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97B00DB"/>
    <w:multiLevelType w:val="hybridMultilevel"/>
    <w:tmpl w:val="CD9EAA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2BC7F01"/>
    <w:multiLevelType w:val="hybridMultilevel"/>
    <w:tmpl w:val="1DD2597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9AD66BF"/>
    <w:multiLevelType w:val="hybridMultilevel"/>
    <w:tmpl w:val="CD9EAA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B741261"/>
    <w:multiLevelType w:val="hybridMultilevel"/>
    <w:tmpl w:val="AD4CAF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01764EB"/>
    <w:multiLevelType w:val="multilevel"/>
    <w:tmpl w:val="8C7619EE"/>
    <w:lvl w:ilvl="0">
      <w:start w:val="1"/>
      <w:numFmt w:val="decimal"/>
      <w:lvlText w:val="%1."/>
      <w:lvlJc w:val="left"/>
      <w:pPr>
        <w:tabs>
          <w:tab w:val="num" w:pos="540"/>
        </w:tabs>
        <w:ind w:left="540" w:hanging="360"/>
      </w:pPr>
    </w:lvl>
    <w:lvl w:ilvl="1">
      <w:start w:val="1"/>
      <w:numFmt w:val="lowerLetter"/>
      <w:lvlText w:val="%2."/>
      <w:lvlJc w:val="left"/>
      <w:pPr>
        <w:tabs>
          <w:tab w:val="num" w:pos="1260"/>
        </w:tabs>
        <w:ind w:left="1260" w:hanging="360"/>
      </w:pPr>
    </w:lvl>
    <w:lvl w:ilvl="2" w:tentative="1">
      <w:start w:val="1"/>
      <w:numFmt w:val="decimal"/>
      <w:lvlText w:val="%3."/>
      <w:lvlJc w:val="left"/>
      <w:pPr>
        <w:tabs>
          <w:tab w:val="num" w:pos="1980"/>
        </w:tabs>
        <w:ind w:left="1980" w:hanging="360"/>
      </w:pPr>
    </w:lvl>
    <w:lvl w:ilvl="3" w:tentative="1">
      <w:start w:val="1"/>
      <w:numFmt w:val="decimal"/>
      <w:lvlText w:val="%4."/>
      <w:lvlJc w:val="left"/>
      <w:pPr>
        <w:tabs>
          <w:tab w:val="num" w:pos="2700"/>
        </w:tabs>
        <w:ind w:left="2700" w:hanging="360"/>
      </w:pPr>
    </w:lvl>
    <w:lvl w:ilvl="4" w:tentative="1">
      <w:start w:val="1"/>
      <w:numFmt w:val="decimal"/>
      <w:lvlText w:val="%5."/>
      <w:lvlJc w:val="left"/>
      <w:pPr>
        <w:tabs>
          <w:tab w:val="num" w:pos="3420"/>
        </w:tabs>
        <w:ind w:left="3420" w:hanging="360"/>
      </w:pPr>
    </w:lvl>
    <w:lvl w:ilvl="5" w:tentative="1">
      <w:start w:val="1"/>
      <w:numFmt w:val="decimal"/>
      <w:lvlText w:val="%6."/>
      <w:lvlJc w:val="left"/>
      <w:pPr>
        <w:tabs>
          <w:tab w:val="num" w:pos="4140"/>
        </w:tabs>
        <w:ind w:left="4140" w:hanging="360"/>
      </w:pPr>
    </w:lvl>
    <w:lvl w:ilvl="6" w:tentative="1">
      <w:start w:val="1"/>
      <w:numFmt w:val="decimal"/>
      <w:lvlText w:val="%7."/>
      <w:lvlJc w:val="left"/>
      <w:pPr>
        <w:tabs>
          <w:tab w:val="num" w:pos="4860"/>
        </w:tabs>
        <w:ind w:left="4860" w:hanging="360"/>
      </w:pPr>
    </w:lvl>
    <w:lvl w:ilvl="7" w:tentative="1">
      <w:start w:val="1"/>
      <w:numFmt w:val="decimal"/>
      <w:lvlText w:val="%8."/>
      <w:lvlJc w:val="left"/>
      <w:pPr>
        <w:tabs>
          <w:tab w:val="num" w:pos="5580"/>
        </w:tabs>
        <w:ind w:left="5580" w:hanging="360"/>
      </w:pPr>
    </w:lvl>
    <w:lvl w:ilvl="8" w:tentative="1">
      <w:start w:val="1"/>
      <w:numFmt w:val="decimal"/>
      <w:lvlText w:val="%9."/>
      <w:lvlJc w:val="left"/>
      <w:pPr>
        <w:tabs>
          <w:tab w:val="num" w:pos="6300"/>
        </w:tabs>
        <w:ind w:left="6300" w:hanging="360"/>
      </w:pPr>
    </w:lvl>
  </w:abstractNum>
  <w:abstractNum w:abstractNumId="30" w15:restartNumberingAfterBreak="0">
    <w:nsid w:val="703032A9"/>
    <w:multiLevelType w:val="hybridMultilevel"/>
    <w:tmpl w:val="7FF448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1C85132"/>
    <w:multiLevelType w:val="hybridMultilevel"/>
    <w:tmpl w:val="7172A9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0642E1"/>
    <w:multiLevelType w:val="hybridMultilevel"/>
    <w:tmpl w:val="429234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90C07A4"/>
    <w:multiLevelType w:val="hybridMultilevel"/>
    <w:tmpl w:val="CD9EAA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BF71335"/>
    <w:multiLevelType w:val="hybridMultilevel"/>
    <w:tmpl w:val="CD9EAA2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DE50D63"/>
    <w:multiLevelType w:val="hybridMultilevel"/>
    <w:tmpl w:val="561E307E"/>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788010874">
    <w:abstractNumId w:val="5"/>
  </w:num>
  <w:num w:numId="2" w16cid:durableId="1183743909">
    <w:abstractNumId w:val="26"/>
  </w:num>
  <w:num w:numId="3" w16cid:durableId="52390258">
    <w:abstractNumId w:val="22"/>
  </w:num>
  <w:num w:numId="4" w16cid:durableId="1776174165">
    <w:abstractNumId w:val="13"/>
  </w:num>
  <w:num w:numId="5" w16cid:durableId="273482621">
    <w:abstractNumId w:val="23"/>
  </w:num>
  <w:num w:numId="6" w16cid:durableId="621693347">
    <w:abstractNumId w:val="8"/>
  </w:num>
  <w:num w:numId="7" w16cid:durableId="442844504">
    <w:abstractNumId w:val="0"/>
  </w:num>
  <w:num w:numId="8" w16cid:durableId="1668485399">
    <w:abstractNumId w:val="14"/>
    <w:lvlOverride w:ilvl="0">
      <w:lvl w:ilvl="0">
        <w:start w:val="1"/>
        <w:numFmt w:val="upperRoman"/>
        <w:pStyle w:val="Heading1"/>
        <w:suff w:val="space"/>
        <w:lvlText w:val="%1."/>
        <w:lvlJc w:val="left"/>
        <w:pPr>
          <w:ind w:left="360" w:hanging="360"/>
        </w:pPr>
        <w:rPr>
          <w:rFonts w:ascii="Arial" w:hAnsi="Arial" w:hint="default"/>
          <w:sz w:val="21"/>
        </w:rPr>
      </w:lvl>
    </w:lvlOverride>
    <w:lvlOverride w:ilvl="1">
      <w:lvl w:ilvl="1">
        <w:start w:val="1"/>
        <w:numFmt w:val="upperLetter"/>
        <w:pStyle w:val="Heading2"/>
        <w:suff w:val="space"/>
        <w:lvlText w:val="%2. "/>
        <w:lvlJc w:val="left"/>
        <w:pPr>
          <w:ind w:left="630" w:hanging="360"/>
        </w:pPr>
        <w:rPr>
          <w:rFonts w:hint="default"/>
        </w:rPr>
      </w:lvl>
    </w:lvlOverride>
    <w:lvlOverride w:ilvl="2">
      <w:lvl w:ilvl="2">
        <w:start w:val="1"/>
        <w:numFmt w:val="decimal"/>
        <w:suff w:val="space"/>
        <w:lvlText w:val="%2.%3"/>
        <w:lvlJc w:val="left"/>
        <w:pPr>
          <w:ind w:left="1080" w:hanging="360"/>
        </w:pPr>
        <w:rPr>
          <w:rFonts w:hint="default"/>
        </w:rPr>
      </w:lvl>
    </w:lvlOverride>
    <w:lvlOverride w:ilvl="3">
      <w:lvl w:ilvl="3">
        <w:start w:val="1"/>
        <w:numFmt w:val="decimal"/>
        <w:suff w:val="space"/>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9" w16cid:durableId="1396511312">
    <w:abstractNumId w:val="1"/>
  </w:num>
  <w:num w:numId="10" w16cid:durableId="804860173">
    <w:abstractNumId w:val="21"/>
  </w:num>
  <w:num w:numId="11" w16cid:durableId="2119642444">
    <w:abstractNumId w:val="33"/>
  </w:num>
  <w:num w:numId="12" w16cid:durableId="1256011628">
    <w:abstractNumId w:val="7"/>
  </w:num>
  <w:num w:numId="13" w16cid:durableId="214197402">
    <w:abstractNumId w:val="14"/>
    <w:lvlOverride w:ilvl="0">
      <w:lvl w:ilvl="0">
        <w:start w:val="1"/>
        <w:numFmt w:val="upperRoman"/>
        <w:pStyle w:val="Heading1"/>
        <w:suff w:val="space"/>
        <w:lvlText w:val="%1."/>
        <w:lvlJc w:val="left"/>
        <w:pPr>
          <w:ind w:left="360" w:hanging="360"/>
        </w:pPr>
        <w:rPr>
          <w:rFonts w:ascii="Arial" w:hAnsi="Arial" w:hint="default"/>
          <w:sz w:val="21"/>
        </w:rPr>
      </w:lvl>
    </w:lvlOverride>
    <w:lvlOverride w:ilvl="1">
      <w:lvl w:ilvl="1">
        <w:start w:val="1"/>
        <w:numFmt w:val="upperLetter"/>
        <w:pStyle w:val="Heading2"/>
        <w:suff w:val="space"/>
        <w:lvlText w:val="%2. "/>
        <w:lvlJc w:val="left"/>
        <w:pPr>
          <w:ind w:left="630" w:hanging="360"/>
        </w:pPr>
        <w:rPr>
          <w:rFonts w:hint="default"/>
        </w:rPr>
      </w:lvl>
    </w:lvlOverride>
    <w:lvlOverride w:ilvl="2">
      <w:lvl w:ilvl="2">
        <w:start w:val="1"/>
        <w:numFmt w:val="decimal"/>
        <w:suff w:val="space"/>
        <w:lvlText w:val="%2.%3"/>
        <w:lvlJc w:val="left"/>
        <w:pPr>
          <w:ind w:left="1080" w:hanging="360"/>
        </w:pPr>
        <w:rPr>
          <w:rFonts w:hint="default"/>
        </w:rPr>
      </w:lvl>
    </w:lvlOverride>
    <w:lvlOverride w:ilvl="3">
      <w:lvl w:ilvl="3">
        <w:start w:val="1"/>
        <w:numFmt w:val="decimal"/>
        <w:suff w:val="space"/>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4" w16cid:durableId="1696078509">
    <w:abstractNumId w:val="4"/>
  </w:num>
  <w:num w:numId="15" w16cid:durableId="1032342691">
    <w:abstractNumId w:val="31"/>
  </w:num>
  <w:num w:numId="16" w16cid:durableId="689141973">
    <w:abstractNumId w:val="27"/>
  </w:num>
  <w:num w:numId="17" w16cid:durableId="2042704608">
    <w:abstractNumId w:val="25"/>
  </w:num>
  <w:num w:numId="18" w16cid:durableId="1277902884">
    <w:abstractNumId w:val="32"/>
  </w:num>
  <w:num w:numId="19" w16cid:durableId="481581449">
    <w:abstractNumId w:val="3"/>
  </w:num>
  <w:num w:numId="20" w16cid:durableId="1986856031">
    <w:abstractNumId w:val="9"/>
  </w:num>
  <w:num w:numId="21" w16cid:durableId="407188084">
    <w:abstractNumId w:val="24"/>
  </w:num>
  <w:num w:numId="22" w16cid:durableId="1084497353">
    <w:abstractNumId w:val="11"/>
    <w:lvlOverride w:ilvl="0">
      <w:startOverride w:val="1"/>
    </w:lvlOverride>
  </w:num>
  <w:num w:numId="23" w16cid:durableId="1564415249">
    <w:abstractNumId w:val="11"/>
    <w:lvlOverride w:ilvl="0"/>
    <w:lvlOverride w:ilvl="1">
      <w:startOverride w:val="1"/>
    </w:lvlOverride>
  </w:num>
  <w:num w:numId="24" w16cid:durableId="276059148">
    <w:abstractNumId w:val="30"/>
  </w:num>
  <w:num w:numId="25" w16cid:durableId="1259480170">
    <w:abstractNumId w:val="29"/>
  </w:num>
  <w:num w:numId="26" w16cid:durableId="75783794">
    <w:abstractNumId w:val="15"/>
  </w:num>
  <w:num w:numId="27" w16cid:durableId="1530601253">
    <w:abstractNumId w:val="28"/>
  </w:num>
  <w:num w:numId="28" w16cid:durableId="1836218887">
    <w:abstractNumId w:val="35"/>
  </w:num>
  <w:num w:numId="29" w16cid:durableId="800461431">
    <w:abstractNumId w:val="17"/>
  </w:num>
  <w:num w:numId="30" w16cid:durableId="1628007403">
    <w:abstractNumId w:val="14"/>
    <w:lvlOverride w:ilvl="0">
      <w:startOverride w:val="1"/>
      <w:lvl w:ilvl="0">
        <w:start w:val="1"/>
        <w:numFmt w:val="upperRoman"/>
        <w:pStyle w:val="Heading1"/>
        <w:suff w:val="space"/>
        <w:lvlText w:val="%1."/>
        <w:lvlJc w:val="left"/>
        <w:pPr>
          <w:ind w:left="360" w:hanging="360"/>
        </w:pPr>
        <w:rPr>
          <w:rFonts w:ascii="Arial" w:hAnsi="Arial" w:hint="default"/>
          <w:sz w:val="21"/>
        </w:rPr>
      </w:lvl>
    </w:lvlOverride>
    <w:lvlOverride w:ilvl="1">
      <w:startOverride w:val="1"/>
      <w:lvl w:ilvl="1">
        <w:start w:val="1"/>
        <w:numFmt w:val="upperLetter"/>
        <w:pStyle w:val="Heading2"/>
        <w:suff w:val="space"/>
        <w:lvlText w:val="%2. "/>
        <w:lvlJc w:val="left"/>
        <w:pPr>
          <w:ind w:left="630" w:hanging="360"/>
        </w:pPr>
        <w:rPr>
          <w:rFonts w:hint="default"/>
        </w:rPr>
      </w:lvl>
    </w:lvlOverride>
    <w:lvlOverride w:ilvl="2">
      <w:startOverride w:val="1"/>
      <w:lvl w:ilvl="2">
        <w:start w:val="1"/>
        <w:numFmt w:val="decimal"/>
        <w:suff w:val="space"/>
        <w:lvlText w:val="%2.%3"/>
        <w:lvlJc w:val="left"/>
        <w:pPr>
          <w:ind w:left="1080" w:hanging="360"/>
        </w:pPr>
        <w:rPr>
          <w:rFonts w:hint="default"/>
        </w:rPr>
      </w:lvl>
    </w:lvlOverride>
    <w:lvlOverride w:ilvl="3">
      <w:startOverride w:val="1"/>
      <w:lvl w:ilvl="3">
        <w:start w:val="1"/>
        <w:numFmt w:val="decimal"/>
        <w:suff w:val="space"/>
        <w:lvlText w:val="(%4)"/>
        <w:lvlJc w:val="left"/>
        <w:pPr>
          <w:ind w:left="1440" w:hanging="360"/>
        </w:pPr>
        <w:rPr>
          <w:rFonts w:hint="default"/>
        </w:rPr>
      </w:lvl>
    </w:lvlOverride>
    <w:lvlOverride w:ilvl="4">
      <w:startOverride w:val="1"/>
      <w:lvl w:ilvl="4">
        <w:start w:val="1"/>
        <w:numFmt w:val="lowerLetter"/>
        <w:lvlText w:val="(%5)"/>
        <w:lvlJc w:val="left"/>
        <w:pPr>
          <w:ind w:left="180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31" w16cid:durableId="951127455">
    <w:abstractNumId w:val="10"/>
  </w:num>
  <w:num w:numId="32" w16cid:durableId="88351147">
    <w:abstractNumId w:val="20"/>
  </w:num>
  <w:num w:numId="33" w16cid:durableId="2011523186">
    <w:abstractNumId w:val="16"/>
  </w:num>
  <w:num w:numId="34" w16cid:durableId="1503548635">
    <w:abstractNumId w:val="6"/>
  </w:num>
  <w:num w:numId="35" w16cid:durableId="957417332">
    <w:abstractNumId w:val="18"/>
  </w:num>
  <w:num w:numId="36" w16cid:durableId="446774042">
    <w:abstractNumId w:val="2"/>
  </w:num>
  <w:num w:numId="37" w16cid:durableId="93131187">
    <w:abstractNumId w:val="19"/>
  </w:num>
  <w:num w:numId="38" w16cid:durableId="2112581875">
    <w:abstractNumId w:val="34"/>
  </w:num>
  <w:num w:numId="39" w16cid:durableId="901912151">
    <w:abstractNumId w:val="1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removePersonalInformation/>
  <w:removeDateAndTime/>
  <w:embedSystemFonts/>
  <w:activeWritingStyle w:appName="MSWord" w:lang="en-US"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78"/>
  <w:displayHorizontalDrawingGridEvery w:val="0"/>
  <w:displayVerticalDrawingGridEvery w:val="0"/>
  <w:noPunctuationKerning/>
  <w:characterSpacingControl w:val="doNotCompress"/>
  <w:hdrShapeDefaults>
    <o:shapedefaults v:ext="edit" spidmax="2050">
      <o:colormru v:ext="edit" colors="#3c3,#fc0"/>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85TrailerClientMatter" w:val="0"/>
    <w:docVar w:name="85TrailerDate" w:val="0"/>
    <w:docVar w:name="85TrailerDateField" w:val="0"/>
    <w:docVar w:name="85TrailerDraft" w:val="0"/>
    <w:docVar w:name="85TrailerLibrary" w:val="0"/>
    <w:docVar w:name="85TrailerTime" w:val="0"/>
    <w:docVar w:name="85TrailerType" w:val="102"/>
    <w:docVar w:name="85TrailerVersion" w:val="0"/>
    <w:docVar w:name="DocStamp_1_OptionalControlValues" w:val="Library|&amp;Library|0|%l|Version|&amp;Version|0|%v|ClientMatter|&amp;Client/Matter|0|%cm"/>
    <w:docVar w:name="MPDocID" w:val="36848864"/>
    <w:docVar w:name="MPDocIDTemplate" w:val="%l| %n|v%v| %c|.%m"/>
    <w:docVar w:name="MPDocIDTemplateDefault" w:val="%l| %n|v%v| %c|.%m"/>
    <w:docVar w:name="NewDocStampType" w:val="7"/>
    <w:docVar w:name="zzmpTrailerDateFormat" w:val="0"/>
  </w:docVars>
  <w:rsids>
    <w:rsidRoot w:val="00835B73"/>
    <w:rsid w:val="0000003E"/>
    <w:rsid w:val="00000896"/>
    <w:rsid w:val="000012DD"/>
    <w:rsid w:val="00002575"/>
    <w:rsid w:val="0000294E"/>
    <w:rsid w:val="00004027"/>
    <w:rsid w:val="0000432E"/>
    <w:rsid w:val="000050A3"/>
    <w:rsid w:val="0000540C"/>
    <w:rsid w:val="00005C7D"/>
    <w:rsid w:val="0000E95B"/>
    <w:rsid w:val="00010053"/>
    <w:rsid w:val="0001020E"/>
    <w:rsid w:val="00010348"/>
    <w:rsid w:val="0001056C"/>
    <w:rsid w:val="0001071F"/>
    <w:rsid w:val="0001087A"/>
    <w:rsid w:val="000108DD"/>
    <w:rsid w:val="00010A7D"/>
    <w:rsid w:val="00010B88"/>
    <w:rsid w:val="000112BB"/>
    <w:rsid w:val="00011CB9"/>
    <w:rsid w:val="000130A4"/>
    <w:rsid w:val="000151F2"/>
    <w:rsid w:val="00015ACC"/>
    <w:rsid w:val="000165A1"/>
    <w:rsid w:val="000165BB"/>
    <w:rsid w:val="0001697A"/>
    <w:rsid w:val="00017259"/>
    <w:rsid w:val="0001772F"/>
    <w:rsid w:val="0001797E"/>
    <w:rsid w:val="00017C26"/>
    <w:rsid w:val="000201D9"/>
    <w:rsid w:val="00020B2E"/>
    <w:rsid w:val="00020E76"/>
    <w:rsid w:val="00021392"/>
    <w:rsid w:val="0002238F"/>
    <w:rsid w:val="000223C8"/>
    <w:rsid w:val="0002396A"/>
    <w:rsid w:val="00023A88"/>
    <w:rsid w:val="00024064"/>
    <w:rsid w:val="0002449E"/>
    <w:rsid w:val="00025216"/>
    <w:rsid w:val="00025434"/>
    <w:rsid w:val="00025489"/>
    <w:rsid w:val="00026B39"/>
    <w:rsid w:val="0002710A"/>
    <w:rsid w:val="000272AE"/>
    <w:rsid w:val="00027ABB"/>
    <w:rsid w:val="0003059E"/>
    <w:rsid w:val="0003147C"/>
    <w:rsid w:val="000314F6"/>
    <w:rsid w:val="0003186F"/>
    <w:rsid w:val="00031D33"/>
    <w:rsid w:val="00033153"/>
    <w:rsid w:val="00033FC2"/>
    <w:rsid w:val="000345F9"/>
    <w:rsid w:val="00034CEB"/>
    <w:rsid w:val="000360FD"/>
    <w:rsid w:val="00036195"/>
    <w:rsid w:val="0003628D"/>
    <w:rsid w:val="00036615"/>
    <w:rsid w:val="000366A9"/>
    <w:rsid w:val="000369D3"/>
    <w:rsid w:val="00037067"/>
    <w:rsid w:val="0003789D"/>
    <w:rsid w:val="0003793B"/>
    <w:rsid w:val="00037C85"/>
    <w:rsid w:val="00040379"/>
    <w:rsid w:val="000403A1"/>
    <w:rsid w:val="00040E12"/>
    <w:rsid w:val="000415AD"/>
    <w:rsid w:val="000422C0"/>
    <w:rsid w:val="00042AB3"/>
    <w:rsid w:val="0004360C"/>
    <w:rsid w:val="0004403B"/>
    <w:rsid w:val="0004406F"/>
    <w:rsid w:val="000442A4"/>
    <w:rsid w:val="00044CB7"/>
    <w:rsid w:val="0004574F"/>
    <w:rsid w:val="00045FD2"/>
    <w:rsid w:val="000462C2"/>
    <w:rsid w:val="00047D4D"/>
    <w:rsid w:val="00047FC5"/>
    <w:rsid w:val="0004EDB4"/>
    <w:rsid w:val="00050577"/>
    <w:rsid w:val="00051E83"/>
    <w:rsid w:val="00053541"/>
    <w:rsid w:val="000535F3"/>
    <w:rsid w:val="000536B0"/>
    <w:rsid w:val="0005389E"/>
    <w:rsid w:val="000538B2"/>
    <w:rsid w:val="000539FB"/>
    <w:rsid w:val="00055D80"/>
    <w:rsid w:val="00055EB5"/>
    <w:rsid w:val="00056388"/>
    <w:rsid w:val="00056B92"/>
    <w:rsid w:val="00057342"/>
    <w:rsid w:val="00057574"/>
    <w:rsid w:val="00060B05"/>
    <w:rsid w:val="000613D9"/>
    <w:rsid w:val="00061BD0"/>
    <w:rsid w:val="00061E18"/>
    <w:rsid w:val="00062648"/>
    <w:rsid w:val="000626D5"/>
    <w:rsid w:val="000629FF"/>
    <w:rsid w:val="00062E2E"/>
    <w:rsid w:val="00062F18"/>
    <w:rsid w:val="00062FC2"/>
    <w:rsid w:val="00063B30"/>
    <w:rsid w:val="00063E43"/>
    <w:rsid w:val="00064B7D"/>
    <w:rsid w:val="00064FC1"/>
    <w:rsid w:val="000651BE"/>
    <w:rsid w:val="000653C3"/>
    <w:rsid w:val="00065FC2"/>
    <w:rsid w:val="00066243"/>
    <w:rsid w:val="00066615"/>
    <w:rsid w:val="00066899"/>
    <w:rsid w:val="00066D9A"/>
    <w:rsid w:val="0006746F"/>
    <w:rsid w:val="00067AD5"/>
    <w:rsid w:val="00070586"/>
    <w:rsid w:val="00070922"/>
    <w:rsid w:val="00070C2A"/>
    <w:rsid w:val="0007115D"/>
    <w:rsid w:val="000725A9"/>
    <w:rsid w:val="000725DD"/>
    <w:rsid w:val="0007274E"/>
    <w:rsid w:val="00072800"/>
    <w:rsid w:val="000728AD"/>
    <w:rsid w:val="00072EAA"/>
    <w:rsid w:val="00073CC6"/>
    <w:rsid w:val="0007463E"/>
    <w:rsid w:val="000748C7"/>
    <w:rsid w:val="0007558C"/>
    <w:rsid w:val="000755D3"/>
    <w:rsid w:val="000756FD"/>
    <w:rsid w:val="00076233"/>
    <w:rsid w:val="000762ED"/>
    <w:rsid w:val="000764C3"/>
    <w:rsid w:val="00076D6A"/>
    <w:rsid w:val="00076DA4"/>
    <w:rsid w:val="000771B7"/>
    <w:rsid w:val="0007727D"/>
    <w:rsid w:val="0008036D"/>
    <w:rsid w:val="00081549"/>
    <w:rsid w:val="0008216B"/>
    <w:rsid w:val="00082248"/>
    <w:rsid w:val="00082423"/>
    <w:rsid w:val="00083252"/>
    <w:rsid w:val="00083807"/>
    <w:rsid w:val="00083E87"/>
    <w:rsid w:val="00084190"/>
    <w:rsid w:val="00084517"/>
    <w:rsid w:val="00084970"/>
    <w:rsid w:val="000850B4"/>
    <w:rsid w:val="00085F4C"/>
    <w:rsid w:val="00086CFE"/>
    <w:rsid w:val="00086D55"/>
    <w:rsid w:val="00087053"/>
    <w:rsid w:val="0008766A"/>
    <w:rsid w:val="000877BF"/>
    <w:rsid w:val="00087D74"/>
    <w:rsid w:val="00090248"/>
    <w:rsid w:val="00090D6D"/>
    <w:rsid w:val="00091E99"/>
    <w:rsid w:val="000923C1"/>
    <w:rsid w:val="000924D4"/>
    <w:rsid w:val="00092C44"/>
    <w:rsid w:val="000937CE"/>
    <w:rsid w:val="00093DB4"/>
    <w:rsid w:val="00094219"/>
    <w:rsid w:val="00095413"/>
    <w:rsid w:val="000965F6"/>
    <w:rsid w:val="00096902"/>
    <w:rsid w:val="00096948"/>
    <w:rsid w:val="000977B7"/>
    <w:rsid w:val="00097B60"/>
    <w:rsid w:val="000A1C22"/>
    <w:rsid w:val="000A2237"/>
    <w:rsid w:val="000A27FB"/>
    <w:rsid w:val="000A2BF7"/>
    <w:rsid w:val="000A58B1"/>
    <w:rsid w:val="000A5EF0"/>
    <w:rsid w:val="000A5F83"/>
    <w:rsid w:val="000A612B"/>
    <w:rsid w:val="000A6401"/>
    <w:rsid w:val="000A667A"/>
    <w:rsid w:val="000A6792"/>
    <w:rsid w:val="000B0719"/>
    <w:rsid w:val="000B0816"/>
    <w:rsid w:val="000B0ED2"/>
    <w:rsid w:val="000B11DD"/>
    <w:rsid w:val="000B138E"/>
    <w:rsid w:val="000B1680"/>
    <w:rsid w:val="000B1EEA"/>
    <w:rsid w:val="000B28FE"/>
    <w:rsid w:val="000B3660"/>
    <w:rsid w:val="000B3A6B"/>
    <w:rsid w:val="000B3CAD"/>
    <w:rsid w:val="000B43B7"/>
    <w:rsid w:val="000B4AC3"/>
    <w:rsid w:val="000B6DAD"/>
    <w:rsid w:val="000B78FF"/>
    <w:rsid w:val="000C076E"/>
    <w:rsid w:val="000C0AEA"/>
    <w:rsid w:val="000C17E6"/>
    <w:rsid w:val="000C1DE8"/>
    <w:rsid w:val="000C219F"/>
    <w:rsid w:val="000C230B"/>
    <w:rsid w:val="000C25D9"/>
    <w:rsid w:val="000C338F"/>
    <w:rsid w:val="000C39DA"/>
    <w:rsid w:val="000C3E44"/>
    <w:rsid w:val="000C4892"/>
    <w:rsid w:val="000C5016"/>
    <w:rsid w:val="000C52D7"/>
    <w:rsid w:val="000C5C23"/>
    <w:rsid w:val="000C66C3"/>
    <w:rsid w:val="000C75B2"/>
    <w:rsid w:val="000C79EB"/>
    <w:rsid w:val="000C7D48"/>
    <w:rsid w:val="000C7FF7"/>
    <w:rsid w:val="000D06C1"/>
    <w:rsid w:val="000D0CA2"/>
    <w:rsid w:val="000D0EAB"/>
    <w:rsid w:val="000D0EB0"/>
    <w:rsid w:val="000D135F"/>
    <w:rsid w:val="000D15B5"/>
    <w:rsid w:val="000D1C82"/>
    <w:rsid w:val="000D1D25"/>
    <w:rsid w:val="000D1EE1"/>
    <w:rsid w:val="000D1F89"/>
    <w:rsid w:val="000D231B"/>
    <w:rsid w:val="000D26D9"/>
    <w:rsid w:val="000D2B14"/>
    <w:rsid w:val="000D35A1"/>
    <w:rsid w:val="000D4425"/>
    <w:rsid w:val="000D4680"/>
    <w:rsid w:val="000D52ED"/>
    <w:rsid w:val="000D54FD"/>
    <w:rsid w:val="000D66CE"/>
    <w:rsid w:val="000D6D7D"/>
    <w:rsid w:val="000D6E06"/>
    <w:rsid w:val="000D7831"/>
    <w:rsid w:val="000D7B59"/>
    <w:rsid w:val="000D7DE9"/>
    <w:rsid w:val="000E273A"/>
    <w:rsid w:val="000E2C2E"/>
    <w:rsid w:val="000E3552"/>
    <w:rsid w:val="000E36A3"/>
    <w:rsid w:val="000E4471"/>
    <w:rsid w:val="000E480D"/>
    <w:rsid w:val="000E4FC9"/>
    <w:rsid w:val="000E5271"/>
    <w:rsid w:val="000E5649"/>
    <w:rsid w:val="000E56A9"/>
    <w:rsid w:val="000E57EA"/>
    <w:rsid w:val="000E57FF"/>
    <w:rsid w:val="000E5E50"/>
    <w:rsid w:val="000E6026"/>
    <w:rsid w:val="000E6BBC"/>
    <w:rsid w:val="000E7F83"/>
    <w:rsid w:val="000F01CE"/>
    <w:rsid w:val="000F3CA1"/>
    <w:rsid w:val="000F4162"/>
    <w:rsid w:val="000F49C1"/>
    <w:rsid w:val="000F580F"/>
    <w:rsid w:val="000F58B5"/>
    <w:rsid w:val="000F5BED"/>
    <w:rsid w:val="000F5EA7"/>
    <w:rsid w:val="000F6714"/>
    <w:rsid w:val="000F7289"/>
    <w:rsid w:val="000F7631"/>
    <w:rsid w:val="000F7EE6"/>
    <w:rsid w:val="00100B7B"/>
    <w:rsid w:val="001019CE"/>
    <w:rsid w:val="00101D49"/>
    <w:rsid w:val="00101DAF"/>
    <w:rsid w:val="00102825"/>
    <w:rsid w:val="00102BDD"/>
    <w:rsid w:val="00102DED"/>
    <w:rsid w:val="00103052"/>
    <w:rsid w:val="001038E9"/>
    <w:rsid w:val="00103934"/>
    <w:rsid w:val="00103A4C"/>
    <w:rsid w:val="0010427F"/>
    <w:rsid w:val="00104880"/>
    <w:rsid w:val="00105208"/>
    <w:rsid w:val="00105367"/>
    <w:rsid w:val="001058C6"/>
    <w:rsid w:val="001059B9"/>
    <w:rsid w:val="00105B02"/>
    <w:rsid w:val="00105E7E"/>
    <w:rsid w:val="001068F2"/>
    <w:rsid w:val="00107165"/>
    <w:rsid w:val="00107543"/>
    <w:rsid w:val="00110E55"/>
    <w:rsid w:val="0011282D"/>
    <w:rsid w:val="00112876"/>
    <w:rsid w:val="001132A8"/>
    <w:rsid w:val="001132E7"/>
    <w:rsid w:val="00113F1B"/>
    <w:rsid w:val="00113F87"/>
    <w:rsid w:val="00114AC8"/>
    <w:rsid w:val="00114B8E"/>
    <w:rsid w:val="001158CE"/>
    <w:rsid w:val="001159A0"/>
    <w:rsid w:val="00115FB9"/>
    <w:rsid w:val="001161AA"/>
    <w:rsid w:val="00117244"/>
    <w:rsid w:val="001209DE"/>
    <w:rsid w:val="00120E4C"/>
    <w:rsid w:val="00120FEC"/>
    <w:rsid w:val="0012109C"/>
    <w:rsid w:val="00121447"/>
    <w:rsid w:val="0012180D"/>
    <w:rsid w:val="00121ACA"/>
    <w:rsid w:val="00122319"/>
    <w:rsid w:val="001229F7"/>
    <w:rsid w:val="00122CE7"/>
    <w:rsid w:val="00122F4B"/>
    <w:rsid w:val="00123A88"/>
    <w:rsid w:val="00124600"/>
    <w:rsid w:val="001246A9"/>
    <w:rsid w:val="0012487B"/>
    <w:rsid w:val="00124B04"/>
    <w:rsid w:val="00124EB7"/>
    <w:rsid w:val="001256E8"/>
    <w:rsid w:val="00125BE4"/>
    <w:rsid w:val="00127374"/>
    <w:rsid w:val="00130027"/>
    <w:rsid w:val="001302C5"/>
    <w:rsid w:val="0013041F"/>
    <w:rsid w:val="001308D9"/>
    <w:rsid w:val="00131053"/>
    <w:rsid w:val="00131143"/>
    <w:rsid w:val="0013123E"/>
    <w:rsid w:val="00131477"/>
    <w:rsid w:val="0013182C"/>
    <w:rsid w:val="00131F34"/>
    <w:rsid w:val="00132DA7"/>
    <w:rsid w:val="001334D1"/>
    <w:rsid w:val="001335BC"/>
    <w:rsid w:val="0013374F"/>
    <w:rsid w:val="0013490B"/>
    <w:rsid w:val="00135409"/>
    <w:rsid w:val="0013560D"/>
    <w:rsid w:val="001359A3"/>
    <w:rsid w:val="00136AF5"/>
    <w:rsid w:val="00137018"/>
    <w:rsid w:val="00137362"/>
    <w:rsid w:val="00137399"/>
    <w:rsid w:val="001373E6"/>
    <w:rsid w:val="0013750E"/>
    <w:rsid w:val="0013769C"/>
    <w:rsid w:val="00137FD7"/>
    <w:rsid w:val="00141C39"/>
    <w:rsid w:val="001429DD"/>
    <w:rsid w:val="00143988"/>
    <w:rsid w:val="001440E6"/>
    <w:rsid w:val="001444CC"/>
    <w:rsid w:val="0014453A"/>
    <w:rsid w:val="00144762"/>
    <w:rsid w:val="00145583"/>
    <w:rsid w:val="00145A85"/>
    <w:rsid w:val="00146609"/>
    <w:rsid w:val="001467C7"/>
    <w:rsid w:val="00146939"/>
    <w:rsid w:val="00146B3E"/>
    <w:rsid w:val="00146CC2"/>
    <w:rsid w:val="001506DC"/>
    <w:rsid w:val="00150FDF"/>
    <w:rsid w:val="00151B86"/>
    <w:rsid w:val="00152638"/>
    <w:rsid w:val="00152802"/>
    <w:rsid w:val="00152BD7"/>
    <w:rsid w:val="00153354"/>
    <w:rsid w:val="001549E8"/>
    <w:rsid w:val="00154BCD"/>
    <w:rsid w:val="00154E06"/>
    <w:rsid w:val="0015621B"/>
    <w:rsid w:val="00156DA8"/>
    <w:rsid w:val="00157278"/>
    <w:rsid w:val="0016192C"/>
    <w:rsid w:val="00161C58"/>
    <w:rsid w:val="001623EF"/>
    <w:rsid w:val="00162FF3"/>
    <w:rsid w:val="001652EE"/>
    <w:rsid w:val="001657AE"/>
    <w:rsid w:val="00166C06"/>
    <w:rsid w:val="00167F09"/>
    <w:rsid w:val="00170E15"/>
    <w:rsid w:val="0017188E"/>
    <w:rsid w:val="00172036"/>
    <w:rsid w:val="00172100"/>
    <w:rsid w:val="00172B62"/>
    <w:rsid w:val="00172CAE"/>
    <w:rsid w:val="00172EF9"/>
    <w:rsid w:val="001739A0"/>
    <w:rsid w:val="001747CF"/>
    <w:rsid w:val="00175020"/>
    <w:rsid w:val="00175EEE"/>
    <w:rsid w:val="001767AB"/>
    <w:rsid w:val="00177563"/>
    <w:rsid w:val="00177CCF"/>
    <w:rsid w:val="00177FE2"/>
    <w:rsid w:val="0018046A"/>
    <w:rsid w:val="00180D42"/>
    <w:rsid w:val="00180F99"/>
    <w:rsid w:val="001811F7"/>
    <w:rsid w:val="001817BB"/>
    <w:rsid w:val="00181E1E"/>
    <w:rsid w:val="00181F46"/>
    <w:rsid w:val="00182B59"/>
    <w:rsid w:val="001830CC"/>
    <w:rsid w:val="00187CF7"/>
    <w:rsid w:val="00192A8D"/>
    <w:rsid w:val="00192CE7"/>
    <w:rsid w:val="001934C4"/>
    <w:rsid w:val="00193D07"/>
    <w:rsid w:val="001941DF"/>
    <w:rsid w:val="001944D2"/>
    <w:rsid w:val="001946E1"/>
    <w:rsid w:val="001959F0"/>
    <w:rsid w:val="001961B6"/>
    <w:rsid w:val="00196A6D"/>
    <w:rsid w:val="00197D34"/>
    <w:rsid w:val="00197E07"/>
    <w:rsid w:val="001A26AE"/>
    <w:rsid w:val="001A29EE"/>
    <w:rsid w:val="001A2A29"/>
    <w:rsid w:val="001A320D"/>
    <w:rsid w:val="001A363C"/>
    <w:rsid w:val="001A43BA"/>
    <w:rsid w:val="001A44FE"/>
    <w:rsid w:val="001A53B0"/>
    <w:rsid w:val="001A56D6"/>
    <w:rsid w:val="001A5C02"/>
    <w:rsid w:val="001A625C"/>
    <w:rsid w:val="001A6706"/>
    <w:rsid w:val="001A695D"/>
    <w:rsid w:val="001A6A28"/>
    <w:rsid w:val="001A7372"/>
    <w:rsid w:val="001A7FB8"/>
    <w:rsid w:val="001B0620"/>
    <w:rsid w:val="001B07FB"/>
    <w:rsid w:val="001B08D5"/>
    <w:rsid w:val="001B0B3F"/>
    <w:rsid w:val="001B0D89"/>
    <w:rsid w:val="001B12EF"/>
    <w:rsid w:val="001B14E7"/>
    <w:rsid w:val="001B2211"/>
    <w:rsid w:val="001B2AA7"/>
    <w:rsid w:val="001B345F"/>
    <w:rsid w:val="001B3815"/>
    <w:rsid w:val="001B39CB"/>
    <w:rsid w:val="001B43A9"/>
    <w:rsid w:val="001B52C2"/>
    <w:rsid w:val="001B57F4"/>
    <w:rsid w:val="001B585D"/>
    <w:rsid w:val="001B5A1D"/>
    <w:rsid w:val="001B686B"/>
    <w:rsid w:val="001B6D7E"/>
    <w:rsid w:val="001B7116"/>
    <w:rsid w:val="001B7BC0"/>
    <w:rsid w:val="001C03A3"/>
    <w:rsid w:val="001C0AE0"/>
    <w:rsid w:val="001C1262"/>
    <w:rsid w:val="001C14E0"/>
    <w:rsid w:val="001C1E65"/>
    <w:rsid w:val="001C2263"/>
    <w:rsid w:val="001C29C7"/>
    <w:rsid w:val="001C2A56"/>
    <w:rsid w:val="001C2E07"/>
    <w:rsid w:val="001C3F49"/>
    <w:rsid w:val="001C431F"/>
    <w:rsid w:val="001C5825"/>
    <w:rsid w:val="001C6BA4"/>
    <w:rsid w:val="001C6E50"/>
    <w:rsid w:val="001C6FCD"/>
    <w:rsid w:val="001C7157"/>
    <w:rsid w:val="001C78FA"/>
    <w:rsid w:val="001D0073"/>
    <w:rsid w:val="001D022F"/>
    <w:rsid w:val="001D02A0"/>
    <w:rsid w:val="001D0669"/>
    <w:rsid w:val="001D06C2"/>
    <w:rsid w:val="001D1350"/>
    <w:rsid w:val="001D17F9"/>
    <w:rsid w:val="001D1C5B"/>
    <w:rsid w:val="001D3177"/>
    <w:rsid w:val="001D3AE2"/>
    <w:rsid w:val="001D41C8"/>
    <w:rsid w:val="001D4845"/>
    <w:rsid w:val="001D48C0"/>
    <w:rsid w:val="001D6040"/>
    <w:rsid w:val="001D622B"/>
    <w:rsid w:val="001D66FB"/>
    <w:rsid w:val="001D7E01"/>
    <w:rsid w:val="001E0022"/>
    <w:rsid w:val="001E005E"/>
    <w:rsid w:val="001E0D86"/>
    <w:rsid w:val="001E2B18"/>
    <w:rsid w:val="001E4966"/>
    <w:rsid w:val="001E54AC"/>
    <w:rsid w:val="001E54E3"/>
    <w:rsid w:val="001E61DB"/>
    <w:rsid w:val="001E73CD"/>
    <w:rsid w:val="001E7825"/>
    <w:rsid w:val="001E7ABC"/>
    <w:rsid w:val="001E7EEE"/>
    <w:rsid w:val="001F0B31"/>
    <w:rsid w:val="001F1519"/>
    <w:rsid w:val="001F3156"/>
    <w:rsid w:val="001F3DD2"/>
    <w:rsid w:val="001F49A5"/>
    <w:rsid w:val="001F59F6"/>
    <w:rsid w:val="001F64B1"/>
    <w:rsid w:val="001F6811"/>
    <w:rsid w:val="001F6818"/>
    <w:rsid w:val="001F6C9C"/>
    <w:rsid w:val="001F7FBF"/>
    <w:rsid w:val="0020016A"/>
    <w:rsid w:val="00200382"/>
    <w:rsid w:val="0020044C"/>
    <w:rsid w:val="00200B30"/>
    <w:rsid w:val="00202412"/>
    <w:rsid w:val="00202BCF"/>
    <w:rsid w:val="002033B9"/>
    <w:rsid w:val="00203454"/>
    <w:rsid w:val="002036C7"/>
    <w:rsid w:val="0020373E"/>
    <w:rsid w:val="0020416E"/>
    <w:rsid w:val="00204CC1"/>
    <w:rsid w:val="00205268"/>
    <w:rsid w:val="00205531"/>
    <w:rsid w:val="00206045"/>
    <w:rsid w:val="00207634"/>
    <w:rsid w:val="0020793D"/>
    <w:rsid w:val="00210AD0"/>
    <w:rsid w:val="00212541"/>
    <w:rsid w:val="002126E6"/>
    <w:rsid w:val="00212AAD"/>
    <w:rsid w:val="00212DCC"/>
    <w:rsid w:val="00213014"/>
    <w:rsid w:val="00213404"/>
    <w:rsid w:val="00213996"/>
    <w:rsid w:val="0021400F"/>
    <w:rsid w:val="00214A05"/>
    <w:rsid w:val="002155C0"/>
    <w:rsid w:val="00215A17"/>
    <w:rsid w:val="00215D71"/>
    <w:rsid w:val="00215FE9"/>
    <w:rsid w:val="00216558"/>
    <w:rsid w:val="002168AC"/>
    <w:rsid w:val="00217F0E"/>
    <w:rsid w:val="002200C6"/>
    <w:rsid w:val="002230C5"/>
    <w:rsid w:val="002232D8"/>
    <w:rsid w:val="00224690"/>
    <w:rsid w:val="00224822"/>
    <w:rsid w:val="00224D71"/>
    <w:rsid w:val="00224E7E"/>
    <w:rsid w:val="00225716"/>
    <w:rsid w:val="00226123"/>
    <w:rsid w:val="002262E0"/>
    <w:rsid w:val="00226329"/>
    <w:rsid w:val="002263BF"/>
    <w:rsid w:val="00226F16"/>
    <w:rsid w:val="00227FF3"/>
    <w:rsid w:val="002320E5"/>
    <w:rsid w:val="00232344"/>
    <w:rsid w:val="00232AE0"/>
    <w:rsid w:val="00233B62"/>
    <w:rsid w:val="00234CEC"/>
    <w:rsid w:val="00234EA3"/>
    <w:rsid w:val="00235171"/>
    <w:rsid w:val="00235343"/>
    <w:rsid w:val="002354CA"/>
    <w:rsid w:val="002358D1"/>
    <w:rsid w:val="00235A09"/>
    <w:rsid w:val="00236097"/>
    <w:rsid w:val="00236B83"/>
    <w:rsid w:val="00236CA7"/>
    <w:rsid w:val="00237023"/>
    <w:rsid w:val="00237888"/>
    <w:rsid w:val="00240276"/>
    <w:rsid w:val="0024054F"/>
    <w:rsid w:val="00240DFD"/>
    <w:rsid w:val="002420FB"/>
    <w:rsid w:val="00242CC6"/>
    <w:rsid w:val="00242DF1"/>
    <w:rsid w:val="00242EB5"/>
    <w:rsid w:val="00243717"/>
    <w:rsid w:val="00244ABE"/>
    <w:rsid w:val="00244D95"/>
    <w:rsid w:val="00245487"/>
    <w:rsid w:val="00246233"/>
    <w:rsid w:val="0024628C"/>
    <w:rsid w:val="00246DA5"/>
    <w:rsid w:val="00246E38"/>
    <w:rsid w:val="00247110"/>
    <w:rsid w:val="0024749C"/>
    <w:rsid w:val="002502F3"/>
    <w:rsid w:val="002502F8"/>
    <w:rsid w:val="0025060A"/>
    <w:rsid w:val="0025060D"/>
    <w:rsid w:val="0025159E"/>
    <w:rsid w:val="00252B8D"/>
    <w:rsid w:val="00253B9A"/>
    <w:rsid w:val="00254853"/>
    <w:rsid w:val="00254E3C"/>
    <w:rsid w:val="002550E2"/>
    <w:rsid w:val="0025578D"/>
    <w:rsid w:val="0025623D"/>
    <w:rsid w:val="0025724D"/>
    <w:rsid w:val="00257348"/>
    <w:rsid w:val="00257487"/>
    <w:rsid w:val="00257F75"/>
    <w:rsid w:val="00257FB0"/>
    <w:rsid w:val="002612AE"/>
    <w:rsid w:val="0026130B"/>
    <w:rsid w:val="00261573"/>
    <w:rsid w:val="00261F9F"/>
    <w:rsid w:val="0026258D"/>
    <w:rsid w:val="00262720"/>
    <w:rsid w:val="0026299A"/>
    <w:rsid w:val="00262B68"/>
    <w:rsid w:val="00263515"/>
    <w:rsid w:val="00264908"/>
    <w:rsid w:val="00264CDD"/>
    <w:rsid w:val="00264FEF"/>
    <w:rsid w:val="00266493"/>
    <w:rsid w:val="00266C15"/>
    <w:rsid w:val="00266FC3"/>
    <w:rsid w:val="0026750B"/>
    <w:rsid w:val="00267A46"/>
    <w:rsid w:val="002700E5"/>
    <w:rsid w:val="00270298"/>
    <w:rsid w:val="002703C1"/>
    <w:rsid w:val="00271E8C"/>
    <w:rsid w:val="0027225D"/>
    <w:rsid w:val="00272EEB"/>
    <w:rsid w:val="0027353F"/>
    <w:rsid w:val="00273CAF"/>
    <w:rsid w:val="00274B4A"/>
    <w:rsid w:val="00276A90"/>
    <w:rsid w:val="00276F32"/>
    <w:rsid w:val="00277A0F"/>
    <w:rsid w:val="00277DDC"/>
    <w:rsid w:val="00277F5A"/>
    <w:rsid w:val="00280329"/>
    <w:rsid w:val="00280BBA"/>
    <w:rsid w:val="00281253"/>
    <w:rsid w:val="00282B76"/>
    <w:rsid w:val="00282D39"/>
    <w:rsid w:val="00282F55"/>
    <w:rsid w:val="00283352"/>
    <w:rsid w:val="00283909"/>
    <w:rsid w:val="00283A8E"/>
    <w:rsid w:val="00283E56"/>
    <w:rsid w:val="00284274"/>
    <w:rsid w:val="00284B1E"/>
    <w:rsid w:val="00284F36"/>
    <w:rsid w:val="0028537B"/>
    <w:rsid w:val="002855D9"/>
    <w:rsid w:val="00285A90"/>
    <w:rsid w:val="00285C99"/>
    <w:rsid w:val="00286AFD"/>
    <w:rsid w:val="00287779"/>
    <w:rsid w:val="002878DB"/>
    <w:rsid w:val="002901B3"/>
    <w:rsid w:val="00290922"/>
    <w:rsid w:val="002915ED"/>
    <w:rsid w:val="00291B84"/>
    <w:rsid w:val="002924CA"/>
    <w:rsid w:val="00292522"/>
    <w:rsid w:val="002928A0"/>
    <w:rsid w:val="00292D4C"/>
    <w:rsid w:val="00293ACE"/>
    <w:rsid w:val="00294374"/>
    <w:rsid w:val="00294E40"/>
    <w:rsid w:val="00295113"/>
    <w:rsid w:val="0029570E"/>
    <w:rsid w:val="002958FF"/>
    <w:rsid w:val="002960D2"/>
    <w:rsid w:val="002962CB"/>
    <w:rsid w:val="00296EFF"/>
    <w:rsid w:val="002A0E06"/>
    <w:rsid w:val="002A0E11"/>
    <w:rsid w:val="002A13D3"/>
    <w:rsid w:val="002A15FD"/>
    <w:rsid w:val="002A1B52"/>
    <w:rsid w:val="002A1B61"/>
    <w:rsid w:val="002A2496"/>
    <w:rsid w:val="002A36AB"/>
    <w:rsid w:val="002A36E7"/>
    <w:rsid w:val="002A3737"/>
    <w:rsid w:val="002A48EF"/>
    <w:rsid w:val="002A4DA5"/>
    <w:rsid w:val="002A4FA0"/>
    <w:rsid w:val="002A565C"/>
    <w:rsid w:val="002A5AD2"/>
    <w:rsid w:val="002A5C87"/>
    <w:rsid w:val="002A5E50"/>
    <w:rsid w:val="002A5F86"/>
    <w:rsid w:val="002A63F0"/>
    <w:rsid w:val="002A67D8"/>
    <w:rsid w:val="002A6B57"/>
    <w:rsid w:val="002A6C70"/>
    <w:rsid w:val="002A7494"/>
    <w:rsid w:val="002A7E05"/>
    <w:rsid w:val="002B0117"/>
    <w:rsid w:val="002B09CC"/>
    <w:rsid w:val="002B0B2D"/>
    <w:rsid w:val="002B0CBD"/>
    <w:rsid w:val="002B148D"/>
    <w:rsid w:val="002B1A0C"/>
    <w:rsid w:val="002B2455"/>
    <w:rsid w:val="002B2F87"/>
    <w:rsid w:val="002B3B04"/>
    <w:rsid w:val="002B42A2"/>
    <w:rsid w:val="002B4907"/>
    <w:rsid w:val="002B4FD7"/>
    <w:rsid w:val="002B53EE"/>
    <w:rsid w:val="002B5722"/>
    <w:rsid w:val="002B5AAA"/>
    <w:rsid w:val="002B6626"/>
    <w:rsid w:val="002B6650"/>
    <w:rsid w:val="002B6DDB"/>
    <w:rsid w:val="002B7DAE"/>
    <w:rsid w:val="002B7F5D"/>
    <w:rsid w:val="002C0313"/>
    <w:rsid w:val="002C0E8A"/>
    <w:rsid w:val="002C1055"/>
    <w:rsid w:val="002C1496"/>
    <w:rsid w:val="002C1D93"/>
    <w:rsid w:val="002C1F1F"/>
    <w:rsid w:val="002C2DF8"/>
    <w:rsid w:val="002C3E09"/>
    <w:rsid w:val="002C3FD9"/>
    <w:rsid w:val="002C4C65"/>
    <w:rsid w:val="002C4C74"/>
    <w:rsid w:val="002C5DBB"/>
    <w:rsid w:val="002C6309"/>
    <w:rsid w:val="002C6F28"/>
    <w:rsid w:val="002D0430"/>
    <w:rsid w:val="002D0572"/>
    <w:rsid w:val="002D066B"/>
    <w:rsid w:val="002D09D8"/>
    <w:rsid w:val="002D0A36"/>
    <w:rsid w:val="002D0C0B"/>
    <w:rsid w:val="002D0DF4"/>
    <w:rsid w:val="002D1BAD"/>
    <w:rsid w:val="002D1DAD"/>
    <w:rsid w:val="002D1FEA"/>
    <w:rsid w:val="002D2330"/>
    <w:rsid w:val="002D237D"/>
    <w:rsid w:val="002D3DA4"/>
    <w:rsid w:val="002D4860"/>
    <w:rsid w:val="002D4B51"/>
    <w:rsid w:val="002D52E2"/>
    <w:rsid w:val="002D5739"/>
    <w:rsid w:val="002D6EA6"/>
    <w:rsid w:val="002D6EAA"/>
    <w:rsid w:val="002D6EEC"/>
    <w:rsid w:val="002D74B2"/>
    <w:rsid w:val="002D76ED"/>
    <w:rsid w:val="002D78E6"/>
    <w:rsid w:val="002D7A4D"/>
    <w:rsid w:val="002E046D"/>
    <w:rsid w:val="002E0B07"/>
    <w:rsid w:val="002E1D82"/>
    <w:rsid w:val="002E1F50"/>
    <w:rsid w:val="002E210C"/>
    <w:rsid w:val="002E2520"/>
    <w:rsid w:val="002E274E"/>
    <w:rsid w:val="002E382A"/>
    <w:rsid w:val="002E3876"/>
    <w:rsid w:val="002E3944"/>
    <w:rsid w:val="002E3B69"/>
    <w:rsid w:val="002E4341"/>
    <w:rsid w:val="002E509C"/>
    <w:rsid w:val="002E571E"/>
    <w:rsid w:val="002E72CB"/>
    <w:rsid w:val="002E77B6"/>
    <w:rsid w:val="002E7B0E"/>
    <w:rsid w:val="002E7F10"/>
    <w:rsid w:val="002F03C3"/>
    <w:rsid w:val="002F0464"/>
    <w:rsid w:val="002F0859"/>
    <w:rsid w:val="002F0AC0"/>
    <w:rsid w:val="002F1455"/>
    <w:rsid w:val="002F1C68"/>
    <w:rsid w:val="002F267A"/>
    <w:rsid w:val="002F27CB"/>
    <w:rsid w:val="002F288F"/>
    <w:rsid w:val="002F2CD1"/>
    <w:rsid w:val="002F2EAF"/>
    <w:rsid w:val="002F35BA"/>
    <w:rsid w:val="002F44AC"/>
    <w:rsid w:val="002F4A76"/>
    <w:rsid w:val="002F4B2E"/>
    <w:rsid w:val="002F4C0B"/>
    <w:rsid w:val="002F55F6"/>
    <w:rsid w:val="002F652E"/>
    <w:rsid w:val="002F79AE"/>
    <w:rsid w:val="0030111F"/>
    <w:rsid w:val="00302563"/>
    <w:rsid w:val="00302DD8"/>
    <w:rsid w:val="00302F48"/>
    <w:rsid w:val="00302FCF"/>
    <w:rsid w:val="00304AD5"/>
    <w:rsid w:val="00304EDD"/>
    <w:rsid w:val="00305239"/>
    <w:rsid w:val="00305993"/>
    <w:rsid w:val="00305CA0"/>
    <w:rsid w:val="0030700C"/>
    <w:rsid w:val="00307AC0"/>
    <w:rsid w:val="00307DF7"/>
    <w:rsid w:val="00307FB2"/>
    <w:rsid w:val="00310439"/>
    <w:rsid w:val="0031157F"/>
    <w:rsid w:val="00313446"/>
    <w:rsid w:val="003135CB"/>
    <w:rsid w:val="003152C9"/>
    <w:rsid w:val="00315835"/>
    <w:rsid w:val="00315B4B"/>
    <w:rsid w:val="00315EAB"/>
    <w:rsid w:val="00316817"/>
    <w:rsid w:val="00316907"/>
    <w:rsid w:val="00317468"/>
    <w:rsid w:val="003220A1"/>
    <w:rsid w:val="003221C1"/>
    <w:rsid w:val="00322525"/>
    <w:rsid w:val="00322D03"/>
    <w:rsid w:val="003232F8"/>
    <w:rsid w:val="003236DF"/>
    <w:rsid w:val="00323FE1"/>
    <w:rsid w:val="003242CE"/>
    <w:rsid w:val="00324FA4"/>
    <w:rsid w:val="00327576"/>
    <w:rsid w:val="003275BA"/>
    <w:rsid w:val="003276FA"/>
    <w:rsid w:val="00327FD4"/>
    <w:rsid w:val="003308D1"/>
    <w:rsid w:val="003311FD"/>
    <w:rsid w:val="00331858"/>
    <w:rsid w:val="00331957"/>
    <w:rsid w:val="0033250A"/>
    <w:rsid w:val="00332902"/>
    <w:rsid w:val="00332FF0"/>
    <w:rsid w:val="00333EAF"/>
    <w:rsid w:val="00334BC7"/>
    <w:rsid w:val="003363E5"/>
    <w:rsid w:val="00336A74"/>
    <w:rsid w:val="00336D3A"/>
    <w:rsid w:val="00336E39"/>
    <w:rsid w:val="00337951"/>
    <w:rsid w:val="0034005C"/>
    <w:rsid w:val="0034015F"/>
    <w:rsid w:val="003421FF"/>
    <w:rsid w:val="00342AEC"/>
    <w:rsid w:val="00343C16"/>
    <w:rsid w:val="00344751"/>
    <w:rsid w:val="00344E3D"/>
    <w:rsid w:val="003450F7"/>
    <w:rsid w:val="0034577E"/>
    <w:rsid w:val="00345B14"/>
    <w:rsid w:val="00345DE3"/>
    <w:rsid w:val="00345EA3"/>
    <w:rsid w:val="0034611F"/>
    <w:rsid w:val="003465D3"/>
    <w:rsid w:val="00346F63"/>
    <w:rsid w:val="0034755B"/>
    <w:rsid w:val="00347E2D"/>
    <w:rsid w:val="003509AB"/>
    <w:rsid w:val="00351187"/>
    <w:rsid w:val="003521F1"/>
    <w:rsid w:val="00352C18"/>
    <w:rsid w:val="003542A6"/>
    <w:rsid w:val="0035451E"/>
    <w:rsid w:val="003551D0"/>
    <w:rsid w:val="003552DB"/>
    <w:rsid w:val="0035539D"/>
    <w:rsid w:val="0035554F"/>
    <w:rsid w:val="00355B5E"/>
    <w:rsid w:val="003561B3"/>
    <w:rsid w:val="0035632B"/>
    <w:rsid w:val="00356A42"/>
    <w:rsid w:val="00356D4D"/>
    <w:rsid w:val="00356FF1"/>
    <w:rsid w:val="003571E6"/>
    <w:rsid w:val="00357325"/>
    <w:rsid w:val="003575D7"/>
    <w:rsid w:val="00357B79"/>
    <w:rsid w:val="00360F18"/>
    <w:rsid w:val="00360F22"/>
    <w:rsid w:val="003616D8"/>
    <w:rsid w:val="00361A78"/>
    <w:rsid w:val="00363B12"/>
    <w:rsid w:val="00364454"/>
    <w:rsid w:val="00364858"/>
    <w:rsid w:val="00364D59"/>
    <w:rsid w:val="00365003"/>
    <w:rsid w:val="0036509D"/>
    <w:rsid w:val="003652ED"/>
    <w:rsid w:val="00365707"/>
    <w:rsid w:val="0036583E"/>
    <w:rsid w:val="00365C21"/>
    <w:rsid w:val="0036624D"/>
    <w:rsid w:val="003662A3"/>
    <w:rsid w:val="0036728F"/>
    <w:rsid w:val="00370D56"/>
    <w:rsid w:val="00370F67"/>
    <w:rsid w:val="0037105D"/>
    <w:rsid w:val="003714EA"/>
    <w:rsid w:val="003721E3"/>
    <w:rsid w:val="00372292"/>
    <w:rsid w:val="003722D9"/>
    <w:rsid w:val="0037231E"/>
    <w:rsid w:val="00372AC4"/>
    <w:rsid w:val="003734A2"/>
    <w:rsid w:val="00373CBF"/>
    <w:rsid w:val="003741F8"/>
    <w:rsid w:val="0037490A"/>
    <w:rsid w:val="00376227"/>
    <w:rsid w:val="00376797"/>
    <w:rsid w:val="00376B55"/>
    <w:rsid w:val="00376B96"/>
    <w:rsid w:val="0037702A"/>
    <w:rsid w:val="0037781E"/>
    <w:rsid w:val="00377B86"/>
    <w:rsid w:val="003801D2"/>
    <w:rsid w:val="003803A9"/>
    <w:rsid w:val="003806A0"/>
    <w:rsid w:val="00381209"/>
    <w:rsid w:val="00381309"/>
    <w:rsid w:val="0038152C"/>
    <w:rsid w:val="0038211F"/>
    <w:rsid w:val="003823EA"/>
    <w:rsid w:val="003829E5"/>
    <w:rsid w:val="00382E88"/>
    <w:rsid w:val="00383D8A"/>
    <w:rsid w:val="00384777"/>
    <w:rsid w:val="00384BD0"/>
    <w:rsid w:val="003857D2"/>
    <w:rsid w:val="003866F3"/>
    <w:rsid w:val="00386806"/>
    <w:rsid w:val="0039195E"/>
    <w:rsid w:val="0039197F"/>
    <w:rsid w:val="00391A7C"/>
    <w:rsid w:val="00392070"/>
    <w:rsid w:val="003938D0"/>
    <w:rsid w:val="00393CCA"/>
    <w:rsid w:val="003955AF"/>
    <w:rsid w:val="00395D24"/>
    <w:rsid w:val="0039623C"/>
    <w:rsid w:val="00396403"/>
    <w:rsid w:val="00396EE4"/>
    <w:rsid w:val="003978AE"/>
    <w:rsid w:val="003A03A0"/>
    <w:rsid w:val="003A2531"/>
    <w:rsid w:val="003A2839"/>
    <w:rsid w:val="003A284E"/>
    <w:rsid w:val="003A2F26"/>
    <w:rsid w:val="003A3681"/>
    <w:rsid w:val="003A3A89"/>
    <w:rsid w:val="003A5060"/>
    <w:rsid w:val="003A51B7"/>
    <w:rsid w:val="003A5C62"/>
    <w:rsid w:val="003A5F6E"/>
    <w:rsid w:val="003A602A"/>
    <w:rsid w:val="003A6221"/>
    <w:rsid w:val="003A697E"/>
    <w:rsid w:val="003A7473"/>
    <w:rsid w:val="003B080E"/>
    <w:rsid w:val="003B0B66"/>
    <w:rsid w:val="003B206A"/>
    <w:rsid w:val="003B2463"/>
    <w:rsid w:val="003B2764"/>
    <w:rsid w:val="003B2B31"/>
    <w:rsid w:val="003B30DF"/>
    <w:rsid w:val="003B33CB"/>
    <w:rsid w:val="003B35F9"/>
    <w:rsid w:val="003B38A9"/>
    <w:rsid w:val="003B3EBC"/>
    <w:rsid w:val="003B400E"/>
    <w:rsid w:val="003B4EB0"/>
    <w:rsid w:val="003B5944"/>
    <w:rsid w:val="003B5D25"/>
    <w:rsid w:val="003B6373"/>
    <w:rsid w:val="003B6D19"/>
    <w:rsid w:val="003B6DF1"/>
    <w:rsid w:val="003B6EA4"/>
    <w:rsid w:val="003C06E2"/>
    <w:rsid w:val="003C0ABE"/>
    <w:rsid w:val="003C0EE0"/>
    <w:rsid w:val="003C13A2"/>
    <w:rsid w:val="003C20C2"/>
    <w:rsid w:val="003C216B"/>
    <w:rsid w:val="003C219D"/>
    <w:rsid w:val="003C21CB"/>
    <w:rsid w:val="003C241D"/>
    <w:rsid w:val="003C25A1"/>
    <w:rsid w:val="003C41FA"/>
    <w:rsid w:val="003C47D7"/>
    <w:rsid w:val="003C5370"/>
    <w:rsid w:val="003C5466"/>
    <w:rsid w:val="003C54F4"/>
    <w:rsid w:val="003C624A"/>
    <w:rsid w:val="003C63F8"/>
    <w:rsid w:val="003C66B9"/>
    <w:rsid w:val="003C6E0C"/>
    <w:rsid w:val="003C72E1"/>
    <w:rsid w:val="003C7361"/>
    <w:rsid w:val="003C7775"/>
    <w:rsid w:val="003D00C4"/>
    <w:rsid w:val="003D0411"/>
    <w:rsid w:val="003D08F8"/>
    <w:rsid w:val="003D0D83"/>
    <w:rsid w:val="003D1659"/>
    <w:rsid w:val="003D3105"/>
    <w:rsid w:val="003D3A03"/>
    <w:rsid w:val="003D4B4D"/>
    <w:rsid w:val="003D50E6"/>
    <w:rsid w:val="003D53DE"/>
    <w:rsid w:val="003D55D5"/>
    <w:rsid w:val="003D6036"/>
    <w:rsid w:val="003D66A2"/>
    <w:rsid w:val="003D6779"/>
    <w:rsid w:val="003D6B66"/>
    <w:rsid w:val="003D6B6F"/>
    <w:rsid w:val="003D6F9F"/>
    <w:rsid w:val="003D72EA"/>
    <w:rsid w:val="003D766B"/>
    <w:rsid w:val="003D7852"/>
    <w:rsid w:val="003D7888"/>
    <w:rsid w:val="003D7F5C"/>
    <w:rsid w:val="003E123A"/>
    <w:rsid w:val="003E1FB6"/>
    <w:rsid w:val="003E23E6"/>
    <w:rsid w:val="003E2A2D"/>
    <w:rsid w:val="003E431D"/>
    <w:rsid w:val="003E4C54"/>
    <w:rsid w:val="003E4F14"/>
    <w:rsid w:val="003E7175"/>
    <w:rsid w:val="003E767A"/>
    <w:rsid w:val="003F1264"/>
    <w:rsid w:val="003F1265"/>
    <w:rsid w:val="003F2B34"/>
    <w:rsid w:val="003F2D84"/>
    <w:rsid w:val="003F2FE7"/>
    <w:rsid w:val="003F32E7"/>
    <w:rsid w:val="003F3463"/>
    <w:rsid w:val="003F34DE"/>
    <w:rsid w:val="003F39DA"/>
    <w:rsid w:val="003F56EC"/>
    <w:rsid w:val="003F5B0A"/>
    <w:rsid w:val="003F5B43"/>
    <w:rsid w:val="003F653F"/>
    <w:rsid w:val="003F67AD"/>
    <w:rsid w:val="003F6908"/>
    <w:rsid w:val="003F7708"/>
    <w:rsid w:val="00400227"/>
    <w:rsid w:val="00400AF6"/>
    <w:rsid w:val="00400C5C"/>
    <w:rsid w:val="00402889"/>
    <w:rsid w:val="00402FB6"/>
    <w:rsid w:val="004031AA"/>
    <w:rsid w:val="00403655"/>
    <w:rsid w:val="00404589"/>
    <w:rsid w:val="00405011"/>
    <w:rsid w:val="004058BC"/>
    <w:rsid w:val="00406718"/>
    <w:rsid w:val="00406BA7"/>
    <w:rsid w:val="00406DCD"/>
    <w:rsid w:val="00406E33"/>
    <w:rsid w:val="00407122"/>
    <w:rsid w:val="004073EF"/>
    <w:rsid w:val="00407B70"/>
    <w:rsid w:val="00411828"/>
    <w:rsid w:val="00412A77"/>
    <w:rsid w:val="0041362D"/>
    <w:rsid w:val="00414708"/>
    <w:rsid w:val="00414E5F"/>
    <w:rsid w:val="00415AEB"/>
    <w:rsid w:val="00415AF8"/>
    <w:rsid w:val="004160E4"/>
    <w:rsid w:val="00416F6F"/>
    <w:rsid w:val="004170DA"/>
    <w:rsid w:val="00417273"/>
    <w:rsid w:val="004172B8"/>
    <w:rsid w:val="00417883"/>
    <w:rsid w:val="0042030D"/>
    <w:rsid w:val="004208B7"/>
    <w:rsid w:val="00421157"/>
    <w:rsid w:val="0042142D"/>
    <w:rsid w:val="00421A79"/>
    <w:rsid w:val="0042254C"/>
    <w:rsid w:val="004232B1"/>
    <w:rsid w:val="0042362F"/>
    <w:rsid w:val="004248D8"/>
    <w:rsid w:val="004260E8"/>
    <w:rsid w:val="00426470"/>
    <w:rsid w:val="00427C3E"/>
    <w:rsid w:val="00430061"/>
    <w:rsid w:val="004300F2"/>
    <w:rsid w:val="004301EA"/>
    <w:rsid w:val="00430E19"/>
    <w:rsid w:val="004314B2"/>
    <w:rsid w:val="004315D1"/>
    <w:rsid w:val="004319F1"/>
    <w:rsid w:val="00431AD6"/>
    <w:rsid w:val="004322D4"/>
    <w:rsid w:val="004325D8"/>
    <w:rsid w:val="0043265E"/>
    <w:rsid w:val="00432A84"/>
    <w:rsid w:val="00432CBB"/>
    <w:rsid w:val="004334FE"/>
    <w:rsid w:val="0043360D"/>
    <w:rsid w:val="00433984"/>
    <w:rsid w:val="004339CA"/>
    <w:rsid w:val="004341FD"/>
    <w:rsid w:val="00434989"/>
    <w:rsid w:val="00434C05"/>
    <w:rsid w:val="00434C7F"/>
    <w:rsid w:val="00435D70"/>
    <w:rsid w:val="004362CF"/>
    <w:rsid w:val="00437217"/>
    <w:rsid w:val="00437401"/>
    <w:rsid w:val="0044098D"/>
    <w:rsid w:val="0044170B"/>
    <w:rsid w:val="00441868"/>
    <w:rsid w:val="00441928"/>
    <w:rsid w:val="00441A0B"/>
    <w:rsid w:val="00441EC8"/>
    <w:rsid w:val="00441EC9"/>
    <w:rsid w:val="00442A46"/>
    <w:rsid w:val="00442EA1"/>
    <w:rsid w:val="00443084"/>
    <w:rsid w:val="00444629"/>
    <w:rsid w:val="00444CA7"/>
    <w:rsid w:val="004456D6"/>
    <w:rsid w:val="00445B91"/>
    <w:rsid w:val="00446413"/>
    <w:rsid w:val="00446E57"/>
    <w:rsid w:val="00447076"/>
    <w:rsid w:val="00447164"/>
    <w:rsid w:val="00447591"/>
    <w:rsid w:val="004479C2"/>
    <w:rsid w:val="00450848"/>
    <w:rsid w:val="004519C6"/>
    <w:rsid w:val="00451A55"/>
    <w:rsid w:val="004520AF"/>
    <w:rsid w:val="0045319E"/>
    <w:rsid w:val="00453FB8"/>
    <w:rsid w:val="00454C89"/>
    <w:rsid w:val="004551CE"/>
    <w:rsid w:val="004553C2"/>
    <w:rsid w:val="0045611A"/>
    <w:rsid w:val="0045668B"/>
    <w:rsid w:val="00456836"/>
    <w:rsid w:val="00456BBD"/>
    <w:rsid w:val="00456EA9"/>
    <w:rsid w:val="00457000"/>
    <w:rsid w:val="00457112"/>
    <w:rsid w:val="004571AF"/>
    <w:rsid w:val="004578D7"/>
    <w:rsid w:val="00457BCF"/>
    <w:rsid w:val="00457EBA"/>
    <w:rsid w:val="0046124C"/>
    <w:rsid w:val="00462884"/>
    <w:rsid w:val="00463203"/>
    <w:rsid w:val="00463E00"/>
    <w:rsid w:val="00464460"/>
    <w:rsid w:val="00464F75"/>
    <w:rsid w:val="0046523C"/>
    <w:rsid w:val="00465298"/>
    <w:rsid w:val="00465721"/>
    <w:rsid w:val="00465826"/>
    <w:rsid w:val="00465C1C"/>
    <w:rsid w:val="00466AB8"/>
    <w:rsid w:val="00466BF8"/>
    <w:rsid w:val="00467F98"/>
    <w:rsid w:val="00470546"/>
    <w:rsid w:val="00470B02"/>
    <w:rsid w:val="00471DDB"/>
    <w:rsid w:val="00471E4E"/>
    <w:rsid w:val="00472322"/>
    <w:rsid w:val="00472EA1"/>
    <w:rsid w:val="0047312F"/>
    <w:rsid w:val="004731CD"/>
    <w:rsid w:val="0047457C"/>
    <w:rsid w:val="00475685"/>
    <w:rsid w:val="00476671"/>
    <w:rsid w:val="00476D38"/>
    <w:rsid w:val="00480741"/>
    <w:rsid w:val="004810C0"/>
    <w:rsid w:val="00481411"/>
    <w:rsid w:val="0048176B"/>
    <w:rsid w:val="004821F4"/>
    <w:rsid w:val="00482AF4"/>
    <w:rsid w:val="00482EF8"/>
    <w:rsid w:val="00484FE0"/>
    <w:rsid w:val="0048565B"/>
    <w:rsid w:val="0048598E"/>
    <w:rsid w:val="00486D49"/>
    <w:rsid w:val="00486F8B"/>
    <w:rsid w:val="00487575"/>
    <w:rsid w:val="00490633"/>
    <w:rsid w:val="00491428"/>
    <w:rsid w:val="00491696"/>
    <w:rsid w:val="00491837"/>
    <w:rsid w:val="0049189D"/>
    <w:rsid w:val="00491B2F"/>
    <w:rsid w:val="00492718"/>
    <w:rsid w:val="00492731"/>
    <w:rsid w:val="00492B41"/>
    <w:rsid w:val="00493096"/>
    <w:rsid w:val="004931BC"/>
    <w:rsid w:val="00493633"/>
    <w:rsid w:val="00493A31"/>
    <w:rsid w:val="00493BF2"/>
    <w:rsid w:val="00495458"/>
    <w:rsid w:val="00495469"/>
    <w:rsid w:val="00496370"/>
    <w:rsid w:val="00496713"/>
    <w:rsid w:val="004967BE"/>
    <w:rsid w:val="00496A29"/>
    <w:rsid w:val="00496D52"/>
    <w:rsid w:val="00496F34"/>
    <w:rsid w:val="004973B4"/>
    <w:rsid w:val="004A1EA1"/>
    <w:rsid w:val="004A20DA"/>
    <w:rsid w:val="004A26FF"/>
    <w:rsid w:val="004A2896"/>
    <w:rsid w:val="004A2DB3"/>
    <w:rsid w:val="004A3A53"/>
    <w:rsid w:val="004A3CDE"/>
    <w:rsid w:val="004A4BF6"/>
    <w:rsid w:val="004A4FD8"/>
    <w:rsid w:val="004A58D4"/>
    <w:rsid w:val="004A5A93"/>
    <w:rsid w:val="004A62F6"/>
    <w:rsid w:val="004A6E6D"/>
    <w:rsid w:val="004A7352"/>
    <w:rsid w:val="004A7809"/>
    <w:rsid w:val="004A7834"/>
    <w:rsid w:val="004B0567"/>
    <w:rsid w:val="004B09C1"/>
    <w:rsid w:val="004B10A7"/>
    <w:rsid w:val="004B1887"/>
    <w:rsid w:val="004B2A1F"/>
    <w:rsid w:val="004B3FF8"/>
    <w:rsid w:val="004B49A6"/>
    <w:rsid w:val="004B7663"/>
    <w:rsid w:val="004C03A7"/>
    <w:rsid w:val="004C22A5"/>
    <w:rsid w:val="004C22B7"/>
    <w:rsid w:val="004C231E"/>
    <w:rsid w:val="004C2FA2"/>
    <w:rsid w:val="004C6644"/>
    <w:rsid w:val="004C6CB2"/>
    <w:rsid w:val="004C72AF"/>
    <w:rsid w:val="004D04CC"/>
    <w:rsid w:val="004D18FB"/>
    <w:rsid w:val="004D275F"/>
    <w:rsid w:val="004D38F3"/>
    <w:rsid w:val="004D3F2F"/>
    <w:rsid w:val="004D4033"/>
    <w:rsid w:val="004D50EA"/>
    <w:rsid w:val="004D566B"/>
    <w:rsid w:val="004D5A36"/>
    <w:rsid w:val="004D5C61"/>
    <w:rsid w:val="004D6276"/>
    <w:rsid w:val="004D6631"/>
    <w:rsid w:val="004E0228"/>
    <w:rsid w:val="004E0474"/>
    <w:rsid w:val="004E0835"/>
    <w:rsid w:val="004E0C4A"/>
    <w:rsid w:val="004E1FF7"/>
    <w:rsid w:val="004E1FFB"/>
    <w:rsid w:val="004E23F5"/>
    <w:rsid w:val="004E2F5E"/>
    <w:rsid w:val="004E4751"/>
    <w:rsid w:val="004E537E"/>
    <w:rsid w:val="004E5776"/>
    <w:rsid w:val="004E59CC"/>
    <w:rsid w:val="004E5C7E"/>
    <w:rsid w:val="004E636D"/>
    <w:rsid w:val="004E64E5"/>
    <w:rsid w:val="004E74B6"/>
    <w:rsid w:val="004E753D"/>
    <w:rsid w:val="004E77A4"/>
    <w:rsid w:val="004E77B1"/>
    <w:rsid w:val="004F0040"/>
    <w:rsid w:val="004F0A2F"/>
    <w:rsid w:val="004F0A84"/>
    <w:rsid w:val="004F0B4D"/>
    <w:rsid w:val="004F0F43"/>
    <w:rsid w:val="004F105C"/>
    <w:rsid w:val="004F10EB"/>
    <w:rsid w:val="004F13E0"/>
    <w:rsid w:val="004F19CC"/>
    <w:rsid w:val="004F1E56"/>
    <w:rsid w:val="004F246D"/>
    <w:rsid w:val="004F278A"/>
    <w:rsid w:val="004F31FF"/>
    <w:rsid w:val="004F3338"/>
    <w:rsid w:val="004F3BFB"/>
    <w:rsid w:val="004F4B25"/>
    <w:rsid w:val="004F4BD7"/>
    <w:rsid w:val="004F505E"/>
    <w:rsid w:val="004F51ED"/>
    <w:rsid w:val="004F53A0"/>
    <w:rsid w:val="004F5687"/>
    <w:rsid w:val="004F5918"/>
    <w:rsid w:val="004F5EC9"/>
    <w:rsid w:val="004F67F7"/>
    <w:rsid w:val="004F6C95"/>
    <w:rsid w:val="004F7807"/>
    <w:rsid w:val="005003F9"/>
    <w:rsid w:val="005021BB"/>
    <w:rsid w:val="00502814"/>
    <w:rsid w:val="00502A79"/>
    <w:rsid w:val="00502D00"/>
    <w:rsid w:val="005049FB"/>
    <w:rsid w:val="00504C78"/>
    <w:rsid w:val="0050538C"/>
    <w:rsid w:val="005053AB"/>
    <w:rsid w:val="0050567A"/>
    <w:rsid w:val="00505731"/>
    <w:rsid w:val="00505C9E"/>
    <w:rsid w:val="005067AF"/>
    <w:rsid w:val="00506D5C"/>
    <w:rsid w:val="00507064"/>
    <w:rsid w:val="005070D2"/>
    <w:rsid w:val="00510687"/>
    <w:rsid w:val="005106A8"/>
    <w:rsid w:val="00512A84"/>
    <w:rsid w:val="00512E6F"/>
    <w:rsid w:val="00513004"/>
    <w:rsid w:val="0051300D"/>
    <w:rsid w:val="00513333"/>
    <w:rsid w:val="0051371E"/>
    <w:rsid w:val="00513FC5"/>
    <w:rsid w:val="00514B89"/>
    <w:rsid w:val="00515193"/>
    <w:rsid w:val="00515DAD"/>
    <w:rsid w:val="00516B0A"/>
    <w:rsid w:val="00517085"/>
    <w:rsid w:val="0051775B"/>
    <w:rsid w:val="005200DA"/>
    <w:rsid w:val="005201A3"/>
    <w:rsid w:val="005203B0"/>
    <w:rsid w:val="005204C5"/>
    <w:rsid w:val="00520EAB"/>
    <w:rsid w:val="00521FD8"/>
    <w:rsid w:val="005223A2"/>
    <w:rsid w:val="00522B41"/>
    <w:rsid w:val="00522C7E"/>
    <w:rsid w:val="00524680"/>
    <w:rsid w:val="0052512E"/>
    <w:rsid w:val="00525262"/>
    <w:rsid w:val="00525497"/>
    <w:rsid w:val="0052590D"/>
    <w:rsid w:val="00525B13"/>
    <w:rsid w:val="005304E3"/>
    <w:rsid w:val="0053096A"/>
    <w:rsid w:val="0053151C"/>
    <w:rsid w:val="00534EB8"/>
    <w:rsid w:val="005352E4"/>
    <w:rsid w:val="00535CCC"/>
    <w:rsid w:val="00536023"/>
    <w:rsid w:val="00536059"/>
    <w:rsid w:val="005371CE"/>
    <w:rsid w:val="00537602"/>
    <w:rsid w:val="00537784"/>
    <w:rsid w:val="00537B53"/>
    <w:rsid w:val="00537C95"/>
    <w:rsid w:val="00540B3A"/>
    <w:rsid w:val="00541847"/>
    <w:rsid w:val="00542155"/>
    <w:rsid w:val="00542755"/>
    <w:rsid w:val="00542F70"/>
    <w:rsid w:val="00543F16"/>
    <w:rsid w:val="005446C5"/>
    <w:rsid w:val="005447C8"/>
    <w:rsid w:val="0054515E"/>
    <w:rsid w:val="00545898"/>
    <w:rsid w:val="00546218"/>
    <w:rsid w:val="0054659F"/>
    <w:rsid w:val="00546F4F"/>
    <w:rsid w:val="00547CAC"/>
    <w:rsid w:val="00547CD8"/>
    <w:rsid w:val="00547CEA"/>
    <w:rsid w:val="00550194"/>
    <w:rsid w:val="00550FB6"/>
    <w:rsid w:val="0055171B"/>
    <w:rsid w:val="00551C41"/>
    <w:rsid w:val="00551C48"/>
    <w:rsid w:val="00552840"/>
    <w:rsid w:val="00553C42"/>
    <w:rsid w:val="0055404C"/>
    <w:rsid w:val="0055433A"/>
    <w:rsid w:val="0055587D"/>
    <w:rsid w:val="00555B02"/>
    <w:rsid w:val="00555E77"/>
    <w:rsid w:val="00556255"/>
    <w:rsid w:val="005562EE"/>
    <w:rsid w:val="005567CC"/>
    <w:rsid w:val="00556891"/>
    <w:rsid w:val="00556D91"/>
    <w:rsid w:val="00556F38"/>
    <w:rsid w:val="00560690"/>
    <w:rsid w:val="00561830"/>
    <w:rsid w:val="00561863"/>
    <w:rsid w:val="00561E30"/>
    <w:rsid w:val="00561FDC"/>
    <w:rsid w:val="005623F8"/>
    <w:rsid w:val="005625AF"/>
    <w:rsid w:val="00563E3A"/>
    <w:rsid w:val="00564430"/>
    <w:rsid w:val="00564AE9"/>
    <w:rsid w:val="005655A5"/>
    <w:rsid w:val="00566464"/>
    <w:rsid w:val="00566F43"/>
    <w:rsid w:val="00567093"/>
    <w:rsid w:val="005671EE"/>
    <w:rsid w:val="005700CB"/>
    <w:rsid w:val="00570186"/>
    <w:rsid w:val="00571D9C"/>
    <w:rsid w:val="005723D8"/>
    <w:rsid w:val="00572578"/>
    <w:rsid w:val="005726A3"/>
    <w:rsid w:val="00572E8F"/>
    <w:rsid w:val="00572F72"/>
    <w:rsid w:val="00573451"/>
    <w:rsid w:val="0057371A"/>
    <w:rsid w:val="00573CC6"/>
    <w:rsid w:val="005747C0"/>
    <w:rsid w:val="00575D5A"/>
    <w:rsid w:val="00576033"/>
    <w:rsid w:val="005771D9"/>
    <w:rsid w:val="005778CA"/>
    <w:rsid w:val="00577CED"/>
    <w:rsid w:val="00580533"/>
    <w:rsid w:val="0058069D"/>
    <w:rsid w:val="00580D9A"/>
    <w:rsid w:val="0058149E"/>
    <w:rsid w:val="00581CCE"/>
    <w:rsid w:val="00582244"/>
    <w:rsid w:val="005824F3"/>
    <w:rsid w:val="0058260E"/>
    <w:rsid w:val="0058271D"/>
    <w:rsid w:val="005828D4"/>
    <w:rsid w:val="00582ACB"/>
    <w:rsid w:val="005834F5"/>
    <w:rsid w:val="0058420A"/>
    <w:rsid w:val="0058468B"/>
    <w:rsid w:val="00584783"/>
    <w:rsid w:val="00584B7F"/>
    <w:rsid w:val="00585C4D"/>
    <w:rsid w:val="005863F7"/>
    <w:rsid w:val="0058687D"/>
    <w:rsid w:val="00586CAD"/>
    <w:rsid w:val="00586DE3"/>
    <w:rsid w:val="00586E31"/>
    <w:rsid w:val="005870AA"/>
    <w:rsid w:val="00587192"/>
    <w:rsid w:val="00590A30"/>
    <w:rsid w:val="00590B60"/>
    <w:rsid w:val="00590D75"/>
    <w:rsid w:val="005922E7"/>
    <w:rsid w:val="00592725"/>
    <w:rsid w:val="00593FB8"/>
    <w:rsid w:val="00594689"/>
    <w:rsid w:val="00595CCC"/>
    <w:rsid w:val="00595EA8"/>
    <w:rsid w:val="005961A8"/>
    <w:rsid w:val="005964D4"/>
    <w:rsid w:val="005964FE"/>
    <w:rsid w:val="00596608"/>
    <w:rsid w:val="00596719"/>
    <w:rsid w:val="005971BF"/>
    <w:rsid w:val="00597262"/>
    <w:rsid w:val="005974A3"/>
    <w:rsid w:val="00597C4B"/>
    <w:rsid w:val="00597F6D"/>
    <w:rsid w:val="005A08EA"/>
    <w:rsid w:val="005A0E45"/>
    <w:rsid w:val="005A0FA3"/>
    <w:rsid w:val="005A1C68"/>
    <w:rsid w:val="005A288B"/>
    <w:rsid w:val="005A2ADE"/>
    <w:rsid w:val="005A2CFC"/>
    <w:rsid w:val="005A2DE2"/>
    <w:rsid w:val="005A31D8"/>
    <w:rsid w:val="005A35AD"/>
    <w:rsid w:val="005A3C13"/>
    <w:rsid w:val="005A4146"/>
    <w:rsid w:val="005A424C"/>
    <w:rsid w:val="005A44EA"/>
    <w:rsid w:val="005A477D"/>
    <w:rsid w:val="005A4B26"/>
    <w:rsid w:val="005A4E63"/>
    <w:rsid w:val="005A529C"/>
    <w:rsid w:val="005A5D59"/>
    <w:rsid w:val="005A6536"/>
    <w:rsid w:val="005A6D6C"/>
    <w:rsid w:val="005A7294"/>
    <w:rsid w:val="005A7B61"/>
    <w:rsid w:val="005A7ECD"/>
    <w:rsid w:val="005A7EF3"/>
    <w:rsid w:val="005A7F80"/>
    <w:rsid w:val="005B080F"/>
    <w:rsid w:val="005B0D9A"/>
    <w:rsid w:val="005B0EDE"/>
    <w:rsid w:val="005B2200"/>
    <w:rsid w:val="005B2447"/>
    <w:rsid w:val="005B2985"/>
    <w:rsid w:val="005B2BBD"/>
    <w:rsid w:val="005B309B"/>
    <w:rsid w:val="005B30D3"/>
    <w:rsid w:val="005B35FD"/>
    <w:rsid w:val="005B4057"/>
    <w:rsid w:val="005B55E3"/>
    <w:rsid w:val="005B593A"/>
    <w:rsid w:val="005B5E61"/>
    <w:rsid w:val="005B6995"/>
    <w:rsid w:val="005B7DF2"/>
    <w:rsid w:val="005B7FDF"/>
    <w:rsid w:val="005C0429"/>
    <w:rsid w:val="005C23CF"/>
    <w:rsid w:val="005C2A87"/>
    <w:rsid w:val="005C2DD0"/>
    <w:rsid w:val="005C2EF3"/>
    <w:rsid w:val="005C2F67"/>
    <w:rsid w:val="005C3395"/>
    <w:rsid w:val="005C3406"/>
    <w:rsid w:val="005C34B3"/>
    <w:rsid w:val="005C3884"/>
    <w:rsid w:val="005C52F9"/>
    <w:rsid w:val="005C6FA1"/>
    <w:rsid w:val="005C7BCF"/>
    <w:rsid w:val="005C7E11"/>
    <w:rsid w:val="005C7FCA"/>
    <w:rsid w:val="005D14BF"/>
    <w:rsid w:val="005D159C"/>
    <w:rsid w:val="005D17FC"/>
    <w:rsid w:val="005D19C4"/>
    <w:rsid w:val="005D3238"/>
    <w:rsid w:val="005D350A"/>
    <w:rsid w:val="005D3D54"/>
    <w:rsid w:val="005D3E47"/>
    <w:rsid w:val="005D4267"/>
    <w:rsid w:val="005D4523"/>
    <w:rsid w:val="005D48A7"/>
    <w:rsid w:val="005D4B3E"/>
    <w:rsid w:val="005D53C9"/>
    <w:rsid w:val="005D5AC1"/>
    <w:rsid w:val="005D5B2C"/>
    <w:rsid w:val="005D61A5"/>
    <w:rsid w:val="005D6415"/>
    <w:rsid w:val="005D64A2"/>
    <w:rsid w:val="005D684F"/>
    <w:rsid w:val="005D6D1E"/>
    <w:rsid w:val="005D6FB3"/>
    <w:rsid w:val="005D72D4"/>
    <w:rsid w:val="005D7895"/>
    <w:rsid w:val="005D7A0D"/>
    <w:rsid w:val="005D7C3E"/>
    <w:rsid w:val="005E0601"/>
    <w:rsid w:val="005E0769"/>
    <w:rsid w:val="005E0B9E"/>
    <w:rsid w:val="005E14E3"/>
    <w:rsid w:val="005E1EDA"/>
    <w:rsid w:val="005E2397"/>
    <w:rsid w:val="005E32F2"/>
    <w:rsid w:val="005E3DE8"/>
    <w:rsid w:val="005E471B"/>
    <w:rsid w:val="005E52DD"/>
    <w:rsid w:val="005E5D5C"/>
    <w:rsid w:val="005E69AF"/>
    <w:rsid w:val="005E793D"/>
    <w:rsid w:val="005F0A72"/>
    <w:rsid w:val="005F1340"/>
    <w:rsid w:val="005F1357"/>
    <w:rsid w:val="005F17AC"/>
    <w:rsid w:val="005F1B52"/>
    <w:rsid w:val="005F2A7C"/>
    <w:rsid w:val="005F3032"/>
    <w:rsid w:val="005F3A3C"/>
    <w:rsid w:val="005F3D9D"/>
    <w:rsid w:val="005F4C8E"/>
    <w:rsid w:val="005F4EE3"/>
    <w:rsid w:val="005F5294"/>
    <w:rsid w:val="005F5EE7"/>
    <w:rsid w:val="005F668E"/>
    <w:rsid w:val="005F6877"/>
    <w:rsid w:val="005F6F1D"/>
    <w:rsid w:val="005F79B8"/>
    <w:rsid w:val="005F7B6F"/>
    <w:rsid w:val="005F7FDD"/>
    <w:rsid w:val="006000D3"/>
    <w:rsid w:val="006001DC"/>
    <w:rsid w:val="006027D7"/>
    <w:rsid w:val="00603690"/>
    <w:rsid w:val="00604654"/>
    <w:rsid w:val="006048A0"/>
    <w:rsid w:val="00605809"/>
    <w:rsid w:val="00605FF0"/>
    <w:rsid w:val="0060606B"/>
    <w:rsid w:val="0060625C"/>
    <w:rsid w:val="0060683F"/>
    <w:rsid w:val="00607677"/>
    <w:rsid w:val="00610644"/>
    <w:rsid w:val="006110A3"/>
    <w:rsid w:val="006117F5"/>
    <w:rsid w:val="00611E82"/>
    <w:rsid w:val="00612390"/>
    <w:rsid w:val="00612BF1"/>
    <w:rsid w:val="00612C33"/>
    <w:rsid w:val="00612D8D"/>
    <w:rsid w:val="006131D1"/>
    <w:rsid w:val="0061343F"/>
    <w:rsid w:val="00613748"/>
    <w:rsid w:val="00613E4E"/>
    <w:rsid w:val="00614295"/>
    <w:rsid w:val="0061493A"/>
    <w:rsid w:val="00614F90"/>
    <w:rsid w:val="006170BC"/>
    <w:rsid w:val="00617B59"/>
    <w:rsid w:val="00617EC3"/>
    <w:rsid w:val="00620697"/>
    <w:rsid w:val="00620CA9"/>
    <w:rsid w:val="00621BF1"/>
    <w:rsid w:val="0062238C"/>
    <w:rsid w:val="006223A6"/>
    <w:rsid w:val="00623082"/>
    <w:rsid w:val="00623674"/>
    <w:rsid w:val="00623A35"/>
    <w:rsid w:val="00623B4F"/>
    <w:rsid w:val="006245BA"/>
    <w:rsid w:val="00624D72"/>
    <w:rsid w:val="00625EAF"/>
    <w:rsid w:val="006263EC"/>
    <w:rsid w:val="00626B22"/>
    <w:rsid w:val="00626F08"/>
    <w:rsid w:val="0062716D"/>
    <w:rsid w:val="00627192"/>
    <w:rsid w:val="006300D9"/>
    <w:rsid w:val="0063045F"/>
    <w:rsid w:val="00630D90"/>
    <w:rsid w:val="00630E39"/>
    <w:rsid w:val="006312B2"/>
    <w:rsid w:val="006313A9"/>
    <w:rsid w:val="00631B56"/>
    <w:rsid w:val="00631F69"/>
    <w:rsid w:val="00631FCB"/>
    <w:rsid w:val="00632403"/>
    <w:rsid w:val="00632B43"/>
    <w:rsid w:val="00632BDD"/>
    <w:rsid w:val="00634668"/>
    <w:rsid w:val="00634939"/>
    <w:rsid w:val="00634AC8"/>
    <w:rsid w:val="006364BF"/>
    <w:rsid w:val="006365C7"/>
    <w:rsid w:val="0063739C"/>
    <w:rsid w:val="00637FFC"/>
    <w:rsid w:val="00640A46"/>
    <w:rsid w:val="006415B7"/>
    <w:rsid w:val="00641663"/>
    <w:rsid w:val="006417DB"/>
    <w:rsid w:val="00641D9C"/>
    <w:rsid w:val="0064222A"/>
    <w:rsid w:val="00643A1B"/>
    <w:rsid w:val="0064465C"/>
    <w:rsid w:val="00644B55"/>
    <w:rsid w:val="00644DB3"/>
    <w:rsid w:val="006452C5"/>
    <w:rsid w:val="00645452"/>
    <w:rsid w:val="0064547A"/>
    <w:rsid w:val="006459C5"/>
    <w:rsid w:val="00645BB5"/>
    <w:rsid w:val="00645CB0"/>
    <w:rsid w:val="00645DB9"/>
    <w:rsid w:val="006461F1"/>
    <w:rsid w:val="006471BF"/>
    <w:rsid w:val="00647300"/>
    <w:rsid w:val="006473F9"/>
    <w:rsid w:val="006477C6"/>
    <w:rsid w:val="006501B9"/>
    <w:rsid w:val="006505C6"/>
    <w:rsid w:val="00650AF2"/>
    <w:rsid w:val="006512D6"/>
    <w:rsid w:val="006520EA"/>
    <w:rsid w:val="0065211C"/>
    <w:rsid w:val="00652328"/>
    <w:rsid w:val="00652874"/>
    <w:rsid w:val="006529ED"/>
    <w:rsid w:val="00652F26"/>
    <w:rsid w:val="006535FA"/>
    <w:rsid w:val="00653DEC"/>
    <w:rsid w:val="006544E6"/>
    <w:rsid w:val="00654609"/>
    <w:rsid w:val="00655669"/>
    <w:rsid w:val="006559A9"/>
    <w:rsid w:val="00655E9D"/>
    <w:rsid w:val="00656C1A"/>
    <w:rsid w:val="00657E5D"/>
    <w:rsid w:val="00660B97"/>
    <w:rsid w:val="00662B57"/>
    <w:rsid w:val="00663593"/>
    <w:rsid w:val="00663A65"/>
    <w:rsid w:val="00664562"/>
    <w:rsid w:val="00664DA4"/>
    <w:rsid w:val="00664F90"/>
    <w:rsid w:val="006654B4"/>
    <w:rsid w:val="00665642"/>
    <w:rsid w:val="00666A08"/>
    <w:rsid w:val="006701F0"/>
    <w:rsid w:val="00670BE6"/>
    <w:rsid w:val="00670C20"/>
    <w:rsid w:val="006718FD"/>
    <w:rsid w:val="00671FB2"/>
    <w:rsid w:val="006726AB"/>
    <w:rsid w:val="00672AE3"/>
    <w:rsid w:val="00672E69"/>
    <w:rsid w:val="00674B92"/>
    <w:rsid w:val="00674D28"/>
    <w:rsid w:val="006762E8"/>
    <w:rsid w:val="006770BF"/>
    <w:rsid w:val="0067755C"/>
    <w:rsid w:val="00677EB1"/>
    <w:rsid w:val="0068051A"/>
    <w:rsid w:val="006806EA"/>
    <w:rsid w:val="00681695"/>
    <w:rsid w:val="00682264"/>
    <w:rsid w:val="006826D9"/>
    <w:rsid w:val="00682729"/>
    <w:rsid w:val="00682878"/>
    <w:rsid w:val="0068315B"/>
    <w:rsid w:val="0068323A"/>
    <w:rsid w:val="00683B28"/>
    <w:rsid w:val="00683B48"/>
    <w:rsid w:val="00683C67"/>
    <w:rsid w:val="0068474A"/>
    <w:rsid w:val="0068494A"/>
    <w:rsid w:val="00684F34"/>
    <w:rsid w:val="00685223"/>
    <w:rsid w:val="00685455"/>
    <w:rsid w:val="006856BC"/>
    <w:rsid w:val="00686193"/>
    <w:rsid w:val="00686668"/>
    <w:rsid w:val="00686745"/>
    <w:rsid w:val="00686E3F"/>
    <w:rsid w:val="00687966"/>
    <w:rsid w:val="00687F13"/>
    <w:rsid w:val="006902D1"/>
    <w:rsid w:val="00690436"/>
    <w:rsid w:val="006904C6"/>
    <w:rsid w:val="00690C09"/>
    <w:rsid w:val="00690E1A"/>
    <w:rsid w:val="00690E8C"/>
    <w:rsid w:val="0069184A"/>
    <w:rsid w:val="006926D9"/>
    <w:rsid w:val="00693A75"/>
    <w:rsid w:val="00693B88"/>
    <w:rsid w:val="006945DE"/>
    <w:rsid w:val="00694EA1"/>
    <w:rsid w:val="00695CC5"/>
    <w:rsid w:val="00695DB2"/>
    <w:rsid w:val="0069697C"/>
    <w:rsid w:val="00696AD7"/>
    <w:rsid w:val="00696CB9"/>
    <w:rsid w:val="00697CE5"/>
    <w:rsid w:val="006A04BB"/>
    <w:rsid w:val="006A0B4B"/>
    <w:rsid w:val="006A1744"/>
    <w:rsid w:val="006A1AAC"/>
    <w:rsid w:val="006A1D9C"/>
    <w:rsid w:val="006A2291"/>
    <w:rsid w:val="006A22C6"/>
    <w:rsid w:val="006A2A5E"/>
    <w:rsid w:val="006A314F"/>
    <w:rsid w:val="006A3F72"/>
    <w:rsid w:val="006A5F65"/>
    <w:rsid w:val="006A67CF"/>
    <w:rsid w:val="006A6A76"/>
    <w:rsid w:val="006A6F96"/>
    <w:rsid w:val="006A7088"/>
    <w:rsid w:val="006A7623"/>
    <w:rsid w:val="006A76AB"/>
    <w:rsid w:val="006A76DB"/>
    <w:rsid w:val="006B0AB3"/>
    <w:rsid w:val="006B0F2D"/>
    <w:rsid w:val="006B1EEB"/>
    <w:rsid w:val="006B2BC8"/>
    <w:rsid w:val="006B2E33"/>
    <w:rsid w:val="006B318B"/>
    <w:rsid w:val="006B3500"/>
    <w:rsid w:val="006B37E3"/>
    <w:rsid w:val="006B45CB"/>
    <w:rsid w:val="006B4883"/>
    <w:rsid w:val="006B589C"/>
    <w:rsid w:val="006B5943"/>
    <w:rsid w:val="006B6427"/>
    <w:rsid w:val="006B6DF3"/>
    <w:rsid w:val="006B71A1"/>
    <w:rsid w:val="006B748A"/>
    <w:rsid w:val="006C0A1E"/>
    <w:rsid w:val="006C0E0C"/>
    <w:rsid w:val="006C15E9"/>
    <w:rsid w:val="006C2BE6"/>
    <w:rsid w:val="006C30C7"/>
    <w:rsid w:val="006C334F"/>
    <w:rsid w:val="006C3935"/>
    <w:rsid w:val="006C4768"/>
    <w:rsid w:val="006C7235"/>
    <w:rsid w:val="006C746D"/>
    <w:rsid w:val="006C7C83"/>
    <w:rsid w:val="006D07D3"/>
    <w:rsid w:val="006D1560"/>
    <w:rsid w:val="006D1F54"/>
    <w:rsid w:val="006D26AB"/>
    <w:rsid w:val="006D2850"/>
    <w:rsid w:val="006D2B41"/>
    <w:rsid w:val="006D3177"/>
    <w:rsid w:val="006D3436"/>
    <w:rsid w:val="006D3558"/>
    <w:rsid w:val="006D589F"/>
    <w:rsid w:val="006D58AB"/>
    <w:rsid w:val="006D5C63"/>
    <w:rsid w:val="006D66D9"/>
    <w:rsid w:val="006D67D5"/>
    <w:rsid w:val="006D7012"/>
    <w:rsid w:val="006D7504"/>
    <w:rsid w:val="006D7519"/>
    <w:rsid w:val="006D7C55"/>
    <w:rsid w:val="006E111D"/>
    <w:rsid w:val="006E1340"/>
    <w:rsid w:val="006E13E8"/>
    <w:rsid w:val="006E1403"/>
    <w:rsid w:val="006E15CF"/>
    <w:rsid w:val="006E1BA1"/>
    <w:rsid w:val="006E1CC0"/>
    <w:rsid w:val="006E2D4A"/>
    <w:rsid w:val="006E4F23"/>
    <w:rsid w:val="006E58CA"/>
    <w:rsid w:val="006E62E3"/>
    <w:rsid w:val="006E65A2"/>
    <w:rsid w:val="006E78DA"/>
    <w:rsid w:val="006E7949"/>
    <w:rsid w:val="006E7A92"/>
    <w:rsid w:val="006E7D3F"/>
    <w:rsid w:val="006F0388"/>
    <w:rsid w:val="006F0B68"/>
    <w:rsid w:val="006F188D"/>
    <w:rsid w:val="006F2B6B"/>
    <w:rsid w:val="006F302C"/>
    <w:rsid w:val="006F3B5F"/>
    <w:rsid w:val="006F4FB7"/>
    <w:rsid w:val="006F5538"/>
    <w:rsid w:val="006F58D9"/>
    <w:rsid w:val="006F7211"/>
    <w:rsid w:val="006F796A"/>
    <w:rsid w:val="006F7A91"/>
    <w:rsid w:val="00700972"/>
    <w:rsid w:val="007009BB"/>
    <w:rsid w:val="0070192A"/>
    <w:rsid w:val="00701FED"/>
    <w:rsid w:val="0070288A"/>
    <w:rsid w:val="00702A0E"/>
    <w:rsid w:val="00702B99"/>
    <w:rsid w:val="00703901"/>
    <w:rsid w:val="00703C00"/>
    <w:rsid w:val="0070427A"/>
    <w:rsid w:val="00704C3A"/>
    <w:rsid w:val="00704D56"/>
    <w:rsid w:val="0070527C"/>
    <w:rsid w:val="00705348"/>
    <w:rsid w:val="00706C8C"/>
    <w:rsid w:val="00706F55"/>
    <w:rsid w:val="00707236"/>
    <w:rsid w:val="0070761E"/>
    <w:rsid w:val="00707D8B"/>
    <w:rsid w:val="00710CA3"/>
    <w:rsid w:val="0071160D"/>
    <w:rsid w:val="00711CF7"/>
    <w:rsid w:val="00712616"/>
    <w:rsid w:val="00712980"/>
    <w:rsid w:val="007136C1"/>
    <w:rsid w:val="00713E5B"/>
    <w:rsid w:val="007140F7"/>
    <w:rsid w:val="007140F8"/>
    <w:rsid w:val="0071443A"/>
    <w:rsid w:val="00714458"/>
    <w:rsid w:val="00714A04"/>
    <w:rsid w:val="00715949"/>
    <w:rsid w:val="00715B00"/>
    <w:rsid w:val="00715EFD"/>
    <w:rsid w:val="00716224"/>
    <w:rsid w:val="0071673B"/>
    <w:rsid w:val="00716E7E"/>
    <w:rsid w:val="00716F12"/>
    <w:rsid w:val="00717583"/>
    <w:rsid w:val="007175C8"/>
    <w:rsid w:val="00717A65"/>
    <w:rsid w:val="00717C37"/>
    <w:rsid w:val="00717D62"/>
    <w:rsid w:val="00717E1D"/>
    <w:rsid w:val="00717EB7"/>
    <w:rsid w:val="00720075"/>
    <w:rsid w:val="00720E69"/>
    <w:rsid w:val="00720E99"/>
    <w:rsid w:val="007214FF"/>
    <w:rsid w:val="00722488"/>
    <w:rsid w:val="00722FB7"/>
    <w:rsid w:val="007233F3"/>
    <w:rsid w:val="00723ABA"/>
    <w:rsid w:val="007256B5"/>
    <w:rsid w:val="007257E3"/>
    <w:rsid w:val="007258BD"/>
    <w:rsid w:val="0072592B"/>
    <w:rsid w:val="00725F6C"/>
    <w:rsid w:val="007264DE"/>
    <w:rsid w:val="00727AFF"/>
    <w:rsid w:val="00727E85"/>
    <w:rsid w:val="00730A23"/>
    <w:rsid w:val="00730AA2"/>
    <w:rsid w:val="00730D45"/>
    <w:rsid w:val="0073105C"/>
    <w:rsid w:val="00731178"/>
    <w:rsid w:val="00731BD3"/>
    <w:rsid w:val="00731D45"/>
    <w:rsid w:val="00731DFF"/>
    <w:rsid w:val="00732E4B"/>
    <w:rsid w:val="0073397C"/>
    <w:rsid w:val="00733E82"/>
    <w:rsid w:val="007342AB"/>
    <w:rsid w:val="00734462"/>
    <w:rsid w:val="00735776"/>
    <w:rsid w:val="00736389"/>
    <w:rsid w:val="00736462"/>
    <w:rsid w:val="00736877"/>
    <w:rsid w:val="00737A8F"/>
    <w:rsid w:val="00737C2F"/>
    <w:rsid w:val="0074039D"/>
    <w:rsid w:val="007403B3"/>
    <w:rsid w:val="007404B9"/>
    <w:rsid w:val="00740F82"/>
    <w:rsid w:val="007412C8"/>
    <w:rsid w:val="00742CAF"/>
    <w:rsid w:val="007432C2"/>
    <w:rsid w:val="00743A70"/>
    <w:rsid w:val="00743D2F"/>
    <w:rsid w:val="0074424D"/>
    <w:rsid w:val="0074546A"/>
    <w:rsid w:val="007458B1"/>
    <w:rsid w:val="00745D71"/>
    <w:rsid w:val="00746FFF"/>
    <w:rsid w:val="00747539"/>
    <w:rsid w:val="00747584"/>
    <w:rsid w:val="0075052D"/>
    <w:rsid w:val="00750E6B"/>
    <w:rsid w:val="00752083"/>
    <w:rsid w:val="00752113"/>
    <w:rsid w:val="00753ED8"/>
    <w:rsid w:val="00753FBC"/>
    <w:rsid w:val="007544B1"/>
    <w:rsid w:val="00754AFF"/>
    <w:rsid w:val="007551A1"/>
    <w:rsid w:val="007554D4"/>
    <w:rsid w:val="007560D3"/>
    <w:rsid w:val="00756546"/>
    <w:rsid w:val="007566F2"/>
    <w:rsid w:val="00756957"/>
    <w:rsid w:val="00756C95"/>
    <w:rsid w:val="00760626"/>
    <w:rsid w:val="007606A7"/>
    <w:rsid w:val="00761494"/>
    <w:rsid w:val="007616DB"/>
    <w:rsid w:val="00761DD8"/>
    <w:rsid w:val="00761EBB"/>
    <w:rsid w:val="0076224F"/>
    <w:rsid w:val="007624C4"/>
    <w:rsid w:val="007625A2"/>
    <w:rsid w:val="007628F5"/>
    <w:rsid w:val="00762CA9"/>
    <w:rsid w:val="007639F3"/>
    <w:rsid w:val="00763B0A"/>
    <w:rsid w:val="00764401"/>
    <w:rsid w:val="00764EB3"/>
    <w:rsid w:val="00764F2C"/>
    <w:rsid w:val="007659EB"/>
    <w:rsid w:val="00765F78"/>
    <w:rsid w:val="00766487"/>
    <w:rsid w:val="007667E4"/>
    <w:rsid w:val="0077212A"/>
    <w:rsid w:val="00772406"/>
    <w:rsid w:val="007728D0"/>
    <w:rsid w:val="00773F74"/>
    <w:rsid w:val="007741FE"/>
    <w:rsid w:val="007744CA"/>
    <w:rsid w:val="00774BCA"/>
    <w:rsid w:val="00774EDA"/>
    <w:rsid w:val="0077557B"/>
    <w:rsid w:val="00775C47"/>
    <w:rsid w:val="00775F55"/>
    <w:rsid w:val="007764DC"/>
    <w:rsid w:val="00776943"/>
    <w:rsid w:val="00777051"/>
    <w:rsid w:val="00777591"/>
    <w:rsid w:val="007804B8"/>
    <w:rsid w:val="00780540"/>
    <w:rsid w:val="0078066D"/>
    <w:rsid w:val="00780905"/>
    <w:rsid w:val="00781627"/>
    <w:rsid w:val="00781887"/>
    <w:rsid w:val="00781FA3"/>
    <w:rsid w:val="0078271A"/>
    <w:rsid w:val="00782AE8"/>
    <w:rsid w:val="00784D1B"/>
    <w:rsid w:val="00785906"/>
    <w:rsid w:val="00785BDC"/>
    <w:rsid w:val="007860ED"/>
    <w:rsid w:val="00786509"/>
    <w:rsid w:val="00786944"/>
    <w:rsid w:val="0078705D"/>
    <w:rsid w:val="00787A45"/>
    <w:rsid w:val="0079021E"/>
    <w:rsid w:val="00790682"/>
    <w:rsid w:val="00790A9C"/>
    <w:rsid w:val="007915A5"/>
    <w:rsid w:val="00792D78"/>
    <w:rsid w:val="007941FC"/>
    <w:rsid w:val="00794CA1"/>
    <w:rsid w:val="0079547F"/>
    <w:rsid w:val="007959FE"/>
    <w:rsid w:val="00795DCA"/>
    <w:rsid w:val="00795E1A"/>
    <w:rsid w:val="007964D2"/>
    <w:rsid w:val="007A0295"/>
    <w:rsid w:val="007A03A1"/>
    <w:rsid w:val="007A0929"/>
    <w:rsid w:val="007A1323"/>
    <w:rsid w:val="007A196F"/>
    <w:rsid w:val="007A1A59"/>
    <w:rsid w:val="007A1BC5"/>
    <w:rsid w:val="007A2982"/>
    <w:rsid w:val="007A3D64"/>
    <w:rsid w:val="007A3EFE"/>
    <w:rsid w:val="007A4455"/>
    <w:rsid w:val="007A46D9"/>
    <w:rsid w:val="007A4E1D"/>
    <w:rsid w:val="007A537E"/>
    <w:rsid w:val="007A6379"/>
    <w:rsid w:val="007A6529"/>
    <w:rsid w:val="007A7A5C"/>
    <w:rsid w:val="007B0430"/>
    <w:rsid w:val="007B0CB0"/>
    <w:rsid w:val="007B1612"/>
    <w:rsid w:val="007B2388"/>
    <w:rsid w:val="007B2603"/>
    <w:rsid w:val="007B2A66"/>
    <w:rsid w:val="007B2EC2"/>
    <w:rsid w:val="007B4457"/>
    <w:rsid w:val="007B4DAA"/>
    <w:rsid w:val="007B5052"/>
    <w:rsid w:val="007B57F0"/>
    <w:rsid w:val="007B7649"/>
    <w:rsid w:val="007C092A"/>
    <w:rsid w:val="007C0A22"/>
    <w:rsid w:val="007C0E72"/>
    <w:rsid w:val="007C15F0"/>
    <w:rsid w:val="007C2F1A"/>
    <w:rsid w:val="007C313B"/>
    <w:rsid w:val="007C3713"/>
    <w:rsid w:val="007C4F82"/>
    <w:rsid w:val="007C5308"/>
    <w:rsid w:val="007C62B5"/>
    <w:rsid w:val="007C6842"/>
    <w:rsid w:val="007C693D"/>
    <w:rsid w:val="007C755E"/>
    <w:rsid w:val="007C7C40"/>
    <w:rsid w:val="007CF031"/>
    <w:rsid w:val="007D0490"/>
    <w:rsid w:val="007D13AA"/>
    <w:rsid w:val="007D1953"/>
    <w:rsid w:val="007D209E"/>
    <w:rsid w:val="007D255F"/>
    <w:rsid w:val="007D265A"/>
    <w:rsid w:val="007D2BF4"/>
    <w:rsid w:val="007D467F"/>
    <w:rsid w:val="007D4A87"/>
    <w:rsid w:val="007D4D3B"/>
    <w:rsid w:val="007D518B"/>
    <w:rsid w:val="007D5194"/>
    <w:rsid w:val="007D5E55"/>
    <w:rsid w:val="007D6D20"/>
    <w:rsid w:val="007D73EB"/>
    <w:rsid w:val="007D767C"/>
    <w:rsid w:val="007E06A9"/>
    <w:rsid w:val="007E0D24"/>
    <w:rsid w:val="007E1176"/>
    <w:rsid w:val="007E1DB1"/>
    <w:rsid w:val="007E2DA7"/>
    <w:rsid w:val="007E490B"/>
    <w:rsid w:val="007E4A21"/>
    <w:rsid w:val="007E5DFE"/>
    <w:rsid w:val="007E6218"/>
    <w:rsid w:val="007E654B"/>
    <w:rsid w:val="007E7463"/>
    <w:rsid w:val="007E7C1F"/>
    <w:rsid w:val="007F00CB"/>
    <w:rsid w:val="007F0168"/>
    <w:rsid w:val="007F036A"/>
    <w:rsid w:val="007F0DF0"/>
    <w:rsid w:val="007F1F8C"/>
    <w:rsid w:val="007F398B"/>
    <w:rsid w:val="007F39EC"/>
    <w:rsid w:val="007F3CA1"/>
    <w:rsid w:val="007F3D00"/>
    <w:rsid w:val="007F410A"/>
    <w:rsid w:val="007F43C5"/>
    <w:rsid w:val="007F4F5E"/>
    <w:rsid w:val="007F5199"/>
    <w:rsid w:val="007F5569"/>
    <w:rsid w:val="007F6349"/>
    <w:rsid w:val="007F691D"/>
    <w:rsid w:val="007F6C00"/>
    <w:rsid w:val="007F6C61"/>
    <w:rsid w:val="007F7F93"/>
    <w:rsid w:val="008002CB"/>
    <w:rsid w:val="008002DB"/>
    <w:rsid w:val="00800484"/>
    <w:rsid w:val="00800567"/>
    <w:rsid w:val="00800F4C"/>
    <w:rsid w:val="00800F6F"/>
    <w:rsid w:val="00801964"/>
    <w:rsid w:val="00801984"/>
    <w:rsid w:val="00801D65"/>
    <w:rsid w:val="00802AE6"/>
    <w:rsid w:val="008031C3"/>
    <w:rsid w:val="008032A3"/>
    <w:rsid w:val="00803619"/>
    <w:rsid w:val="008039E9"/>
    <w:rsid w:val="00803A3A"/>
    <w:rsid w:val="00804566"/>
    <w:rsid w:val="008052D7"/>
    <w:rsid w:val="008058CA"/>
    <w:rsid w:val="00806555"/>
    <w:rsid w:val="00807088"/>
    <w:rsid w:val="008077A5"/>
    <w:rsid w:val="0080788F"/>
    <w:rsid w:val="00810064"/>
    <w:rsid w:val="008105EE"/>
    <w:rsid w:val="00810763"/>
    <w:rsid w:val="008107AB"/>
    <w:rsid w:val="00810D26"/>
    <w:rsid w:val="00810E5A"/>
    <w:rsid w:val="008114FF"/>
    <w:rsid w:val="00812679"/>
    <w:rsid w:val="0081278F"/>
    <w:rsid w:val="008129B6"/>
    <w:rsid w:val="00813047"/>
    <w:rsid w:val="008135DA"/>
    <w:rsid w:val="0081374C"/>
    <w:rsid w:val="00814D92"/>
    <w:rsid w:val="00815A82"/>
    <w:rsid w:val="00816D8C"/>
    <w:rsid w:val="00817624"/>
    <w:rsid w:val="0081766D"/>
    <w:rsid w:val="0082045E"/>
    <w:rsid w:val="00820B33"/>
    <w:rsid w:val="00820E2C"/>
    <w:rsid w:val="00821D01"/>
    <w:rsid w:val="0082201C"/>
    <w:rsid w:val="00823BC1"/>
    <w:rsid w:val="00824181"/>
    <w:rsid w:val="00824338"/>
    <w:rsid w:val="00825A30"/>
    <w:rsid w:val="00825CE8"/>
    <w:rsid w:val="008260EF"/>
    <w:rsid w:val="008270B5"/>
    <w:rsid w:val="00827602"/>
    <w:rsid w:val="0083046D"/>
    <w:rsid w:val="00830953"/>
    <w:rsid w:val="00831694"/>
    <w:rsid w:val="00831DFD"/>
    <w:rsid w:val="00831FAE"/>
    <w:rsid w:val="00833729"/>
    <w:rsid w:val="008338DD"/>
    <w:rsid w:val="00834DFE"/>
    <w:rsid w:val="00834E63"/>
    <w:rsid w:val="00834F1E"/>
    <w:rsid w:val="0083570D"/>
    <w:rsid w:val="00835B73"/>
    <w:rsid w:val="00835E73"/>
    <w:rsid w:val="0083673E"/>
    <w:rsid w:val="00836E5D"/>
    <w:rsid w:val="00836EC6"/>
    <w:rsid w:val="008376A8"/>
    <w:rsid w:val="008377F0"/>
    <w:rsid w:val="00837BAF"/>
    <w:rsid w:val="00840040"/>
    <w:rsid w:val="00840346"/>
    <w:rsid w:val="008403DB"/>
    <w:rsid w:val="00840BD5"/>
    <w:rsid w:val="00841333"/>
    <w:rsid w:val="00841BA6"/>
    <w:rsid w:val="00842103"/>
    <w:rsid w:val="0084346E"/>
    <w:rsid w:val="00843A02"/>
    <w:rsid w:val="00843E41"/>
    <w:rsid w:val="008440C6"/>
    <w:rsid w:val="008449CA"/>
    <w:rsid w:val="00844B1D"/>
    <w:rsid w:val="00844E0D"/>
    <w:rsid w:val="008457DD"/>
    <w:rsid w:val="00846EF2"/>
    <w:rsid w:val="00847C83"/>
    <w:rsid w:val="00850249"/>
    <w:rsid w:val="0085040A"/>
    <w:rsid w:val="0085079A"/>
    <w:rsid w:val="0085212F"/>
    <w:rsid w:val="008523D5"/>
    <w:rsid w:val="00852742"/>
    <w:rsid w:val="00852C71"/>
    <w:rsid w:val="00852DA6"/>
    <w:rsid w:val="00852F8A"/>
    <w:rsid w:val="0085345F"/>
    <w:rsid w:val="008535D1"/>
    <w:rsid w:val="00853E7E"/>
    <w:rsid w:val="00853F01"/>
    <w:rsid w:val="0085419F"/>
    <w:rsid w:val="008547A8"/>
    <w:rsid w:val="00854A7E"/>
    <w:rsid w:val="00854E4F"/>
    <w:rsid w:val="0085558C"/>
    <w:rsid w:val="00855D87"/>
    <w:rsid w:val="0085665C"/>
    <w:rsid w:val="00857733"/>
    <w:rsid w:val="00857959"/>
    <w:rsid w:val="0086023E"/>
    <w:rsid w:val="008609E6"/>
    <w:rsid w:val="00860F40"/>
    <w:rsid w:val="008614B0"/>
    <w:rsid w:val="0086259A"/>
    <w:rsid w:val="008628E2"/>
    <w:rsid w:val="00863100"/>
    <w:rsid w:val="00863D12"/>
    <w:rsid w:val="008641EC"/>
    <w:rsid w:val="008644E9"/>
    <w:rsid w:val="00864813"/>
    <w:rsid w:val="00865827"/>
    <w:rsid w:val="00865A3D"/>
    <w:rsid w:val="00865B9D"/>
    <w:rsid w:val="00865C15"/>
    <w:rsid w:val="0086653D"/>
    <w:rsid w:val="00866858"/>
    <w:rsid w:val="0086787E"/>
    <w:rsid w:val="00867D08"/>
    <w:rsid w:val="00867E37"/>
    <w:rsid w:val="008702D7"/>
    <w:rsid w:val="00870667"/>
    <w:rsid w:val="00870696"/>
    <w:rsid w:val="008707DC"/>
    <w:rsid w:val="0087126D"/>
    <w:rsid w:val="008718F1"/>
    <w:rsid w:val="00872157"/>
    <w:rsid w:val="0087234E"/>
    <w:rsid w:val="00872546"/>
    <w:rsid w:val="008735C9"/>
    <w:rsid w:val="00873666"/>
    <w:rsid w:val="0087496A"/>
    <w:rsid w:val="00875108"/>
    <w:rsid w:val="008751EB"/>
    <w:rsid w:val="00875854"/>
    <w:rsid w:val="00875CCA"/>
    <w:rsid w:val="00876C09"/>
    <w:rsid w:val="00876E0A"/>
    <w:rsid w:val="00876ED9"/>
    <w:rsid w:val="00876EDC"/>
    <w:rsid w:val="00877D9E"/>
    <w:rsid w:val="008801EC"/>
    <w:rsid w:val="00880841"/>
    <w:rsid w:val="008815AC"/>
    <w:rsid w:val="008829A5"/>
    <w:rsid w:val="0088309D"/>
    <w:rsid w:val="0088346C"/>
    <w:rsid w:val="00883785"/>
    <w:rsid w:val="00884704"/>
    <w:rsid w:val="00884A42"/>
    <w:rsid w:val="0088670C"/>
    <w:rsid w:val="00886780"/>
    <w:rsid w:val="00886D27"/>
    <w:rsid w:val="0088745C"/>
    <w:rsid w:val="00887DF3"/>
    <w:rsid w:val="0089021B"/>
    <w:rsid w:val="00891C9F"/>
    <w:rsid w:val="00892D87"/>
    <w:rsid w:val="00892E8D"/>
    <w:rsid w:val="00893E06"/>
    <w:rsid w:val="00894055"/>
    <w:rsid w:val="008952DC"/>
    <w:rsid w:val="00895905"/>
    <w:rsid w:val="00895D30"/>
    <w:rsid w:val="00895E17"/>
    <w:rsid w:val="00895F7D"/>
    <w:rsid w:val="008960DD"/>
    <w:rsid w:val="008967EB"/>
    <w:rsid w:val="00897192"/>
    <w:rsid w:val="008972FB"/>
    <w:rsid w:val="00897F05"/>
    <w:rsid w:val="008A048D"/>
    <w:rsid w:val="008A0887"/>
    <w:rsid w:val="008A10F1"/>
    <w:rsid w:val="008A22E3"/>
    <w:rsid w:val="008A278C"/>
    <w:rsid w:val="008A2B6A"/>
    <w:rsid w:val="008A2C33"/>
    <w:rsid w:val="008A3E38"/>
    <w:rsid w:val="008A4180"/>
    <w:rsid w:val="008A43B3"/>
    <w:rsid w:val="008A4AE5"/>
    <w:rsid w:val="008A58FB"/>
    <w:rsid w:val="008A6ADA"/>
    <w:rsid w:val="008A6FF3"/>
    <w:rsid w:val="008A7383"/>
    <w:rsid w:val="008A7B22"/>
    <w:rsid w:val="008A7B56"/>
    <w:rsid w:val="008A7CF4"/>
    <w:rsid w:val="008B069A"/>
    <w:rsid w:val="008B0C4B"/>
    <w:rsid w:val="008B0FE6"/>
    <w:rsid w:val="008B1146"/>
    <w:rsid w:val="008B271E"/>
    <w:rsid w:val="008B2912"/>
    <w:rsid w:val="008B399A"/>
    <w:rsid w:val="008B473E"/>
    <w:rsid w:val="008B4796"/>
    <w:rsid w:val="008B48CB"/>
    <w:rsid w:val="008B495A"/>
    <w:rsid w:val="008B49F9"/>
    <w:rsid w:val="008B4C2A"/>
    <w:rsid w:val="008B4CB9"/>
    <w:rsid w:val="008B4FC6"/>
    <w:rsid w:val="008B575E"/>
    <w:rsid w:val="008B63A4"/>
    <w:rsid w:val="008B68E0"/>
    <w:rsid w:val="008B7454"/>
    <w:rsid w:val="008B748B"/>
    <w:rsid w:val="008B7491"/>
    <w:rsid w:val="008B756E"/>
    <w:rsid w:val="008C048B"/>
    <w:rsid w:val="008C08AB"/>
    <w:rsid w:val="008C1394"/>
    <w:rsid w:val="008C4467"/>
    <w:rsid w:val="008C4B46"/>
    <w:rsid w:val="008C4FB0"/>
    <w:rsid w:val="008C51FC"/>
    <w:rsid w:val="008C663B"/>
    <w:rsid w:val="008C6D4A"/>
    <w:rsid w:val="008D018A"/>
    <w:rsid w:val="008D0D5B"/>
    <w:rsid w:val="008D0E56"/>
    <w:rsid w:val="008D1228"/>
    <w:rsid w:val="008D1DB2"/>
    <w:rsid w:val="008D2E95"/>
    <w:rsid w:val="008D318D"/>
    <w:rsid w:val="008D43C0"/>
    <w:rsid w:val="008D479C"/>
    <w:rsid w:val="008D4CF6"/>
    <w:rsid w:val="008D507C"/>
    <w:rsid w:val="008D5C06"/>
    <w:rsid w:val="008D63C1"/>
    <w:rsid w:val="008D6B30"/>
    <w:rsid w:val="008D76F9"/>
    <w:rsid w:val="008D7B9B"/>
    <w:rsid w:val="008E0EC0"/>
    <w:rsid w:val="008E0FB7"/>
    <w:rsid w:val="008E10BB"/>
    <w:rsid w:val="008E1F8B"/>
    <w:rsid w:val="008E1FB5"/>
    <w:rsid w:val="008E2C2E"/>
    <w:rsid w:val="008E2FDE"/>
    <w:rsid w:val="008E3E55"/>
    <w:rsid w:val="008E4963"/>
    <w:rsid w:val="008E4EC0"/>
    <w:rsid w:val="008E4F21"/>
    <w:rsid w:val="008E4FAF"/>
    <w:rsid w:val="008E57D4"/>
    <w:rsid w:val="008E5CAD"/>
    <w:rsid w:val="008E62FC"/>
    <w:rsid w:val="008E64EB"/>
    <w:rsid w:val="008E68EE"/>
    <w:rsid w:val="008F05D1"/>
    <w:rsid w:val="008F0AAB"/>
    <w:rsid w:val="008F0D74"/>
    <w:rsid w:val="008F1E43"/>
    <w:rsid w:val="008F1E5D"/>
    <w:rsid w:val="008F22C5"/>
    <w:rsid w:val="008F276E"/>
    <w:rsid w:val="008F2C37"/>
    <w:rsid w:val="008F2C58"/>
    <w:rsid w:val="008F445A"/>
    <w:rsid w:val="008F45AE"/>
    <w:rsid w:val="008F485C"/>
    <w:rsid w:val="008F4A13"/>
    <w:rsid w:val="008F4FA7"/>
    <w:rsid w:val="008F51CE"/>
    <w:rsid w:val="008F5AB2"/>
    <w:rsid w:val="008F627C"/>
    <w:rsid w:val="00900612"/>
    <w:rsid w:val="00900927"/>
    <w:rsid w:val="00900C19"/>
    <w:rsid w:val="009016AF"/>
    <w:rsid w:val="00902B02"/>
    <w:rsid w:val="00902E21"/>
    <w:rsid w:val="00903303"/>
    <w:rsid w:val="00905537"/>
    <w:rsid w:val="00905F6A"/>
    <w:rsid w:val="0090684A"/>
    <w:rsid w:val="00907330"/>
    <w:rsid w:val="0091044D"/>
    <w:rsid w:val="00910A11"/>
    <w:rsid w:val="00910ABB"/>
    <w:rsid w:val="00910B48"/>
    <w:rsid w:val="00911ADD"/>
    <w:rsid w:val="00911B19"/>
    <w:rsid w:val="00912EA8"/>
    <w:rsid w:val="00912F93"/>
    <w:rsid w:val="009131BA"/>
    <w:rsid w:val="0091334E"/>
    <w:rsid w:val="0091337F"/>
    <w:rsid w:val="00913EF1"/>
    <w:rsid w:val="0091434A"/>
    <w:rsid w:val="009144EA"/>
    <w:rsid w:val="00914E60"/>
    <w:rsid w:val="00915188"/>
    <w:rsid w:val="00915493"/>
    <w:rsid w:val="00915F40"/>
    <w:rsid w:val="0091715B"/>
    <w:rsid w:val="00917AA9"/>
    <w:rsid w:val="00917E17"/>
    <w:rsid w:val="00920F9B"/>
    <w:rsid w:val="009213BB"/>
    <w:rsid w:val="00922797"/>
    <w:rsid w:val="00922A0A"/>
    <w:rsid w:val="00922AC9"/>
    <w:rsid w:val="00922C78"/>
    <w:rsid w:val="00923DD2"/>
    <w:rsid w:val="00924C35"/>
    <w:rsid w:val="009251FC"/>
    <w:rsid w:val="009256F2"/>
    <w:rsid w:val="00925750"/>
    <w:rsid w:val="00925A88"/>
    <w:rsid w:val="00925C15"/>
    <w:rsid w:val="00926D03"/>
    <w:rsid w:val="00927890"/>
    <w:rsid w:val="00930154"/>
    <w:rsid w:val="0093088F"/>
    <w:rsid w:val="00930950"/>
    <w:rsid w:val="00930A34"/>
    <w:rsid w:val="00930B16"/>
    <w:rsid w:val="00931898"/>
    <w:rsid w:val="009318F2"/>
    <w:rsid w:val="009333FD"/>
    <w:rsid w:val="00933401"/>
    <w:rsid w:val="00933469"/>
    <w:rsid w:val="00933C5E"/>
    <w:rsid w:val="00933DFE"/>
    <w:rsid w:val="00934AB5"/>
    <w:rsid w:val="00934B1D"/>
    <w:rsid w:val="00934DDE"/>
    <w:rsid w:val="00935416"/>
    <w:rsid w:val="00935444"/>
    <w:rsid w:val="00936EE9"/>
    <w:rsid w:val="00937377"/>
    <w:rsid w:val="00937847"/>
    <w:rsid w:val="00937BF9"/>
    <w:rsid w:val="00937C5E"/>
    <w:rsid w:val="009408E0"/>
    <w:rsid w:val="0094094A"/>
    <w:rsid w:val="00940DE5"/>
    <w:rsid w:val="009410AD"/>
    <w:rsid w:val="00941BBB"/>
    <w:rsid w:val="00941C10"/>
    <w:rsid w:val="00941CCB"/>
    <w:rsid w:val="00942294"/>
    <w:rsid w:val="009431B5"/>
    <w:rsid w:val="009432D3"/>
    <w:rsid w:val="00943B9E"/>
    <w:rsid w:val="00943E4B"/>
    <w:rsid w:val="00943F1D"/>
    <w:rsid w:val="00944518"/>
    <w:rsid w:val="009445A2"/>
    <w:rsid w:val="009454C0"/>
    <w:rsid w:val="0094575A"/>
    <w:rsid w:val="00945A5E"/>
    <w:rsid w:val="00946691"/>
    <w:rsid w:val="0094669C"/>
    <w:rsid w:val="00946829"/>
    <w:rsid w:val="009469F7"/>
    <w:rsid w:val="00946F88"/>
    <w:rsid w:val="00947E53"/>
    <w:rsid w:val="00947E5B"/>
    <w:rsid w:val="00947FE7"/>
    <w:rsid w:val="009501D6"/>
    <w:rsid w:val="00950350"/>
    <w:rsid w:val="00950890"/>
    <w:rsid w:val="00950BC9"/>
    <w:rsid w:val="00951000"/>
    <w:rsid w:val="00951C20"/>
    <w:rsid w:val="00952948"/>
    <w:rsid w:val="0095381A"/>
    <w:rsid w:val="00954832"/>
    <w:rsid w:val="00954A4F"/>
    <w:rsid w:val="00954C0D"/>
    <w:rsid w:val="00954CA4"/>
    <w:rsid w:val="009554B3"/>
    <w:rsid w:val="00955C5B"/>
    <w:rsid w:val="00955CD3"/>
    <w:rsid w:val="0095625D"/>
    <w:rsid w:val="00957BF4"/>
    <w:rsid w:val="00957DB2"/>
    <w:rsid w:val="009600DD"/>
    <w:rsid w:val="0096098C"/>
    <w:rsid w:val="009611F4"/>
    <w:rsid w:val="00962C59"/>
    <w:rsid w:val="00962E0A"/>
    <w:rsid w:val="00962F3F"/>
    <w:rsid w:val="009636AE"/>
    <w:rsid w:val="00963C52"/>
    <w:rsid w:val="00964CAB"/>
    <w:rsid w:val="009659D0"/>
    <w:rsid w:val="00966339"/>
    <w:rsid w:val="00966A0D"/>
    <w:rsid w:val="009677A1"/>
    <w:rsid w:val="00967A2F"/>
    <w:rsid w:val="00971352"/>
    <w:rsid w:val="009721CC"/>
    <w:rsid w:val="00972CF1"/>
    <w:rsid w:val="009746CC"/>
    <w:rsid w:val="00974A88"/>
    <w:rsid w:val="009758AA"/>
    <w:rsid w:val="00975E50"/>
    <w:rsid w:val="0097702D"/>
    <w:rsid w:val="009777AD"/>
    <w:rsid w:val="00977C2B"/>
    <w:rsid w:val="00980470"/>
    <w:rsid w:val="0098089B"/>
    <w:rsid w:val="00980B01"/>
    <w:rsid w:val="009810C9"/>
    <w:rsid w:val="00981543"/>
    <w:rsid w:val="00981A2F"/>
    <w:rsid w:val="0098367D"/>
    <w:rsid w:val="00983B7D"/>
    <w:rsid w:val="00983EF1"/>
    <w:rsid w:val="00984459"/>
    <w:rsid w:val="00984912"/>
    <w:rsid w:val="00985216"/>
    <w:rsid w:val="0098545A"/>
    <w:rsid w:val="00986095"/>
    <w:rsid w:val="00986127"/>
    <w:rsid w:val="00986297"/>
    <w:rsid w:val="009868ED"/>
    <w:rsid w:val="00986985"/>
    <w:rsid w:val="00987C76"/>
    <w:rsid w:val="00987CF3"/>
    <w:rsid w:val="00990B28"/>
    <w:rsid w:val="00990CF9"/>
    <w:rsid w:val="009910BB"/>
    <w:rsid w:val="00992D59"/>
    <w:rsid w:val="0099301E"/>
    <w:rsid w:val="00993373"/>
    <w:rsid w:val="00993632"/>
    <w:rsid w:val="00993A5D"/>
    <w:rsid w:val="00993C1B"/>
    <w:rsid w:val="00994CA2"/>
    <w:rsid w:val="00994E33"/>
    <w:rsid w:val="00995314"/>
    <w:rsid w:val="00995607"/>
    <w:rsid w:val="00995D68"/>
    <w:rsid w:val="00995D6B"/>
    <w:rsid w:val="0099780A"/>
    <w:rsid w:val="00997B35"/>
    <w:rsid w:val="00997F8B"/>
    <w:rsid w:val="009A2A9E"/>
    <w:rsid w:val="009A2BE4"/>
    <w:rsid w:val="009A32E8"/>
    <w:rsid w:val="009A3442"/>
    <w:rsid w:val="009A3940"/>
    <w:rsid w:val="009A3B86"/>
    <w:rsid w:val="009A3C8E"/>
    <w:rsid w:val="009A41F0"/>
    <w:rsid w:val="009A47DB"/>
    <w:rsid w:val="009A510B"/>
    <w:rsid w:val="009A5662"/>
    <w:rsid w:val="009B00D9"/>
    <w:rsid w:val="009B02AA"/>
    <w:rsid w:val="009B03BC"/>
    <w:rsid w:val="009B12ED"/>
    <w:rsid w:val="009B17DC"/>
    <w:rsid w:val="009B1A07"/>
    <w:rsid w:val="009B1C18"/>
    <w:rsid w:val="009B1CB8"/>
    <w:rsid w:val="009B1CCE"/>
    <w:rsid w:val="009B2978"/>
    <w:rsid w:val="009B646B"/>
    <w:rsid w:val="009B6838"/>
    <w:rsid w:val="009B7451"/>
    <w:rsid w:val="009B7B39"/>
    <w:rsid w:val="009C08AF"/>
    <w:rsid w:val="009C0E92"/>
    <w:rsid w:val="009C139D"/>
    <w:rsid w:val="009C1606"/>
    <w:rsid w:val="009C2170"/>
    <w:rsid w:val="009C21CC"/>
    <w:rsid w:val="009C22C7"/>
    <w:rsid w:val="009C2790"/>
    <w:rsid w:val="009C2BAE"/>
    <w:rsid w:val="009C3844"/>
    <w:rsid w:val="009C4178"/>
    <w:rsid w:val="009C4980"/>
    <w:rsid w:val="009C4E93"/>
    <w:rsid w:val="009C60EC"/>
    <w:rsid w:val="009C642E"/>
    <w:rsid w:val="009C6598"/>
    <w:rsid w:val="009C6C2E"/>
    <w:rsid w:val="009C760E"/>
    <w:rsid w:val="009C7DD5"/>
    <w:rsid w:val="009D0CAB"/>
    <w:rsid w:val="009D0FA7"/>
    <w:rsid w:val="009D125D"/>
    <w:rsid w:val="009D17EE"/>
    <w:rsid w:val="009D2365"/>
    <w:rsid w:val="009D258D"/>
    <w:rsid w:val="009D2E0A"/>
    <w:rsid w:val="009D31FB"/>
    <w:rsid w:val="009D344B"/>
    <w:rsid w:val="009D401E"/>
    <w:rsid w:val="009D450D"/>
    <w:rsid w:val="009D48FC"/>
    <w:rsid w:val="009D4FB3"/>
    <w:rsid w:val="009D54B4"/>
    <w:rsid w:val="009D56C5"/>
    <w:rsid w:val="009D5914"/>
    <w:rsid w:val="009D5DE3"/>
    <w:rsid w:val="009D5F60"/>
    <w:rsid w:val="009D650B"/>
    <w:rsid w:val="009E08FA"/>
    <w:rsid w:val="009E0C9D"/>
    <w:rsid w:val="009E0CD6"/>
    <w:rsid w:val="009E0D0C"/>
    <w:rsid w:val="009E0E20"/>
    <w:rsid w:val="009E0F4C"/>
    <w:rsid w:val="009E1642"/>
    <w:rsid w:val="009E1B61"/>
    <w:rsid w:val="009E21BA"/>
    <w:rsid w:val="009E31B6"/>
    <w:rsid w:val="009E3CE4"/>
    <w:rsid w:val="009E4111"/>
    <w:rsid w:val="009E423E"/>
    <w:rsid w:val="009E51E5"/>
    <w:rsid w:val="009E574F"/>
    <w:rsid w:val="009E599E"/>
    <w:rsid w:val="009E5AC0"/>
    <w:rsid w:val="009E655F"/>
    <w:rsid w:val="009E6997"/>
    <w:rsid w:val="009E6EC1"/>
    <w:rsid w:val="009E7434"/>
    <w:rsid w:val="009E7D02"/>
    <w:rsid w:val="009F029A"/>
    <w:rsid w:val="009F0CB9"/>
    <w:rsid w:val="009F0DB8"/>
    <w:rsid w:val="009F109E"/>
    <w:rsid w:val="009F1F98"/>
    <w:rsid w:val="009F259A"/>
    <w:rsid w:val="009F280C"/>
    <w:rsid w:val="009F2973"/>
    <w:rsid w:val="009F38E8"/>
    <w:rsid w:val="009F482C"/>
    <w:rsid w:val="009F4DA1"/>
    <w:rsid w:val="009F5D2E"/>
    <w:rsid w:val="009F5E63"/>
    <w:rsid w:val="009F624B"/>
    <w:rsid w:val="009F646E"/>
    <w:rsid w:val="009F6651"/>
    <w:rsid w:val="009F77DD"/>
    <w:rsid w:val="009F7A58"/>
    <w:rsid w:val="009F7B78"/>
    <w:rsid w:val="009F7BBC"/>
    <w:rsid w:val="009F7C70"/>
    <w:rsid w:val="009F7CCE"/>
    <w:rsid w:val="009F7D85"/>
    <w:rsid w:val="00A00049"/>
    <w:rsid w:val="00A00EDF"/>
    <w:rsid w:val="00A022BB"/>
    <w:rsid w:val="00A02514"/>
    <w:rsid w:val="00A0259A"/>
    <w:rsid w:val="00A02FD9"/>
    <w:rsid w:val="00A03E56"/>
    <w:rsid w:val="00A03F4C"/>
    <w:rsid w:val="00A04A92"/>
    <w:rsid w:val="00A05DF3"/>
    <w:rsid w:val="00A06131"/>
    <w:rsid w:val="00A06271"/>
    <w:rsid w:val="00A0634F"/>
    <w:rsid w:val="00A065DC"/>
    <w:rsid w:val="00A074DD"/>
    <w:rsid w:val="00A07990"/>
    <w:rsid w:val="00A10600"/>
    <w:rsid w:val="00A1187D"/>
    <w:rsid w:val="00A11927"/>
    <w:rsid w:val="00A1262A"/>
    <w:rsid w:val="00A133DD"/>
    <w:rsid w:val="00A13859"/>
    <w:rsid w:val="00A13B92"/>
    <w:rsid w:val="00A143E5"/>
    <w:rsid w:val="00A145FB"/>
    <w:rsid w:val="00A164E6"/>
    <w:rsid w:val="00A16830"/>
    <w:rsid w:val="00A1733F"/>
    <w:rsid w:val="00A17533"/>
    <w:rsid w:val="00A2032F"/>
    <w:rsid w:val="00A20C74"/>
    <w:rsid w:val="00A21626"/>
    <w:rsid w:val="00A22047"/>
    <w:rsid w:val="00A2272B"/>
    <w:rsid w:val="00A22F31"/>
    <w:rsid w:val="00A23B76"/>
    <w:rsid w:val="00A23E18"/>
    <w:rsid w:val="00A2457D"/>
    <w:rsid w:val="00A24D39"/>
    <w:rsid w:val="00A258DD"/>
    <w:rsid w:val="00A262F8"/>
    <w:rsid w:val="00A266B0"/>
    <w:rsid w:val="00A274E7"/>
    <w:rsid w:val="00A27CC1"/>
    <w:rsid w:val="00A27ED3"/>
    <w:rsid w:val="00A27F7E"/>
    <w:rsid w:val="00A30BF0"/>
    <w:rsid w:val="00A30D72"/>
    <w:rsid w:val="00A32441"/>
    <w:rsid w:val="00A32EF0"/>
    <w:rsid w:val="00A3431F"/>
    <w:rsid w:val="00A351C6"/>
    <w:rsid w:val="00A35683"/>
    <w:rsid w:val="00A35FCA"/>
    <w:rsid w:val="00A369EB"/>
    <w:rsid w:val="00A378FB"/>
    <w:rsid w:val="00A37A21"/>
    <w:rsid w:val="00A37B94"/>
    <w:rsid w:val="00A401F7"/>
    <w:rsid w:val="00A40455"/>
    <w:rsid w:val="00A41520"/>
    <w:rsid w:val="00A4198A"/>
    <w:rsid w:val="00A431CE"/>
    <w:rsid w:val="00A443AA"/>
    <w:rsid w:val="00A44A0B"/>
    <w:rsid w:val="00A44AE9"/>
    <w:rsid w:val="00A4508D"/>
    <w:rsid w:val="00A4583A"/>
    <w:rsid w:val="00A45FA4"/>
    <w:rsid w:val="00A478D7"/>
    <w:rsid w:val="00A50259"/>
    <w:rsid w:val="00A50C18"/>
    <w:rsid w:val="00A51F90"/>
    <w:rsid w:val="00A52244"/>
    <w:rsid w:val="00A53E61"/>
    <w:rsid w:val="00A54E5E"/>
    <w:rsid w:val="00A55C13"/>
    <w:rsid w:val="00A55FBC"/>
    <w:rsid w:val="00A560DC"/>
    <w:rsid w:val="00A56A3A"/>
    <w:rsid w:val="00A572FC"/>
    <w:rsid w:val="00A5739F"/>
    <w:rsid w:val="00A57731"/>
    <w:rsid w:val="00A577C0"/>
    <w:rsid w:val="00A6016A"/>
    <w:rsid w:val="00A61389"/>
    <w:rsid w:val="00A613BB"/>
    <w:rsid w:val="00A619EE"/>
    <w:rsid w:val="00A61A4E"/>
    <w:rsid w:val="00A620A9"/>
    <w:rsid w:val="00A6232F"/>
    <w:rsid w:val="00A62964"/>
    <w:rsid w:val="00A62F26"/>
    <w:rsid w:val="00A648A6"/>
    <w:rsid w:val="00A64964"/>
    <w:rsid w:val="00A66283"/>
    <w:rsid w:val="00A66DB6"/>
    <w:rsid w:val="00A673EE"/>
    <w:rsid w:val="00A674B4"/>
    <w:rsid w:val="00A70B22"/>
    <w:rsid w:val="00A71215"/>
    <w:rsid w:val="00A7134A"/>
    <w:rsid w:val="00A71D2E"/>
    <w:rsid w:val="00A72348"/>
    <w:rsid w:val="00A72FC2"/>
    <w:rsid w:val="00A7302D"/>
    <w:rsid w:val="00A73F0C"/>
    <w:rsid w:val="00A74F93"/>
    <w:rsid w:val="00A75050"/>
    <w:rsid w:val="00A750A7"/>
    <w:rsid w:val="00A75775"/>
    <w:rsid w:val="00A76839"/>
    <w:rsid w:val="00A76C91"/>
    <w:rsid w:val="00A7706C"/>
    <w:rsid w:val="00A779E4"/>
    <w:rsid w:val="00A805B5"/>
    <w:rsid w:val="00A8092C"/>
    <w:rsid w:val="00A80D2F"/>
    <w:rsid w:val="00A8204A"/>
    <w:rsid w:val="00A8500C"/>
    <w:rsid w:val="00A85714"/>
    <w:rsid w:val="00A85918"/>
    <w:rsid w:val="00A869F4"/>
    <w:rsid w:val="00A87272"/>
    <w:rsid w:val="00A902F8"/>
    <w:rsid w:val="00A90416"/>
    <w:rsid w:val="00A90C73"/>
    <w:rsid w:val="00A9156C"/>
    <w:rsid w:val="00A9225C"/>
    <w:rsid w:val="00A92324"/>
    <w:rsid w:val="00A94F58"/>
    <w:rsid w:val="00A952C0"/>
    <w:rsid w:val="00A967EE"/>
    <w:rsid w:val="00A97589"/>
    <w:rsid w:val="00A97764"/>
    <w:rsid w:val="00A978B0"/>
    <w:rsid w:val="00A978FC"/>
    <w:rsid w:val="00A97B52"/>
    <w:rsid w:val="00AA09B2"/>
    <w:rsid w:val="00AA0A04"/>
    <w:rsid w:val="00AA143E"/>
    <w:rsid w:val="00AA145A"/>
    <w:rsid w:val="00AA350E"/>
    <w:rsid w:val="00AA4A3A"/>
    <w:rsid w:val="00AA4A51"/>
    <w:rsid w:val="00AA4DFF"/>
    <w:rsid w:val="00AA536F"/>
    <w:rsid w:val="00AA5740"/>
    <w:rsid w:val="00AA59F4"/>
    <w:rsid w:val="00AA5A1A"/>
    <w:rsid w:val="00AA6037"/>
    <w:rsid w:val="00AA63C2"/>
    <w:rsid w:val="00AA66C5"/>
    <w:rsid w:val="00AA6F0A"/>
    <w:rsid w:val="00AA6FF1"/>
    <w:rsid w:val="00AA7EC9"/>
    <w:rsid w:val="00AB0186"/>
    <w:rsid w:val="00AB023B"/>
    <w:rsid w:val="00AB03B1"/>
    <w:rsid w:val="00AB06A8"/>
    <w:rsid w:val="00AB0911"/>
    <w:rsid w:val="00AB0FBF"/>
    <w:rsid w:val="00AB17F5"/>
    <w:rsid w:val="00AB1996"/>
    <w:rsid w:val="00AB22ED"/>
    <w:rsid w:val="00AB2610"/>
    <w:rsid w:val="00AB2CF8"/>
    <w:rsid w:val="00AB30C8"/>
    <w:rsid w:val="00AB34DF"/>
    <w:rsid w:val="00AB384E"/>
    <w:rsid w:val="00AB3D75"/>
    <w:rsid w:val="00AB446E"/>
    <w:rsid w:val="00AB45E2"/>
    <w:rsid w:val="00AB5229"/>
    <w:rsid w:val="00AB58AE"/>
    <w:rsid w:val="00AB58D4"/>
    <w:rsid w:val="00AB7E47"/>
    <w:rsid w:val="00AB7EB0"/>
    <w:rsid w:val="00AC0A19"/>
    <w:rsid w:val="00AC1074"/>
    <w:rsid w:val="00AC147E"/>
    <w:rsid w:val="00AC164B"/>
    <w:rsid w:val="00AC1951"/>
    <w:rsid w:val="00AC1BBD"/>
    <w:rsid w:val="00AC1C6E"/>
    <w:rsid w:val="00AC25B2"/>
    <w:rsid w:val="00AC2F57"/>
    <w:rsid w:val="00AC3329"/>
    <w:rsid w:val="00AC339C"/>
    <w:rsid w:val="00AC3583"/>
    <w:rsid w:val="00AC370F"/>
    <w:rsid w:val="00AC39D8"/>
    <w:rsid w:val="00AC4531"/>
    <w:rsid w:val="00AC5CC1"/>
    <w:rsid w:val="00AC768B"/>
    <w:rsid w:val="00AD095F"/>
    <w:rsid w:val="00AD1CE3"/>
    <w:rsid w:val="00AD26A6"/>
    <w:rsid w:val="00AD27F3"/>
    <w:rsid w:val="00AD39E0"/>
    <w:rsid w:val="00AD5403"/>
    <w:rsid w:val="00AD5C55"/>
    <w:rsid w:val="00AD784F"/>
    <w:rsid w:val="00AE0A0C"/>
    <w:rsid w:val="00AE1544"/>
    <w:rsid w:val="00AE163B"/>
    <w:rsid w:val="00AE181D"/>
    <w:rsid w:val="00AE1E70"/>
    <w:rsid w:val="00AE2637"/>
    <w:rsid w:val="00AE2A8B"/>
    <w:rsid w:val="00AE526D"/>
    <w:rsid w:val="00AE5F24"/>
    <w:rsid w:val="00AE6E89"/>
    <w:rsid w:val="00AE6FF2"/>
    <w:rsid w:val="00AE73D6"/>
    <w:rsid w:val="00AE752B"/>
    <w:rsid w:val="00AE789A"/>
    <w:rsid w:val="00AF00D9"/>
    <w:rsid w:val="00AF04E1"/>
    <w:rsid w:val="00AF1354"/>
    <w:rsid w:val="00AF1471"/>
    <w:rsid w:val="00AF1A29"/>
    <w:rsid w:val="00AF1F0C"/>
    <w:rsid w:val="00AF336B"/>
    <w:rsid w:val="00AF33E5"/>
    <w:rsid w:val="00AF3B43"/>
    <w:rsid w:val="00AF4B16"/>
    <w:rsid w:val="00AF5074"/>
    <w:rsid w:val="00AF7013"/>
    <w:rsid w:val="00AF796F"/>
    <w:rsid w:val="00B001D8"/>
    <w:rsid w:val="00B00F00"/>
    <w:rsid w:val="00B0398F"/>
    <w:rsid w:val="00B03F25"/>
    <w:rsid w:val="00B04B86"/>
    <w:rsid w:val="00B05598"/>
    <w:rsid w:val="00B067BF"/>
    <w:rsid w:val="00B07175"/>
    <w:rsid w:val="00B0726F"/>
    <w:rsid w:val="00B0727B"/>
    <w:rsid w:val="00B07429"/>
    <w:rsid w:val="00B07A16"/>
    <w:rsid w:val="00B07B3C"/>
    <w:rsid w:val="00B07C61"/>
    <w:rsid w:val="00B1011B"/>
    <w:rsid w:val="00B1066F"/>
    <w:rsid w:val="00B10961"/>
    <w:rsid w:val="00B10F64"/>
    <w:rsid w:val="00B11A51"/>
    <w:rsid w:val="00B12045"/>
    <w:rsid w:val="00B125E4"/>
    <w:rsid w:val="00B12791"/>
    <w:rsid w:val="00B12828"/>
    <w:rsid w:val="00B12B21"/>
    <w:rsid w:val="00B12CA9"/>
    <w:rsid w:val="00B12F81"/>
    <w:rsid w:val="00B13599"/>
    <w:rsid w:val="00B13814"/>
    <w:rsid w:val="00B138F0"/>
    <w:rsid w:val="00B13C22"/>
    <w:rsid w:val="00B13D28"/>
    <w:rsid w:val="00B1596A"/>
    <w:rsid w:val="00B161DF"/>
    <w:rsid w:val="00B1623A"/>
    <w:rsid w:val="00B16B36"/>
    <w:rsid w:val="00B16FDD"/>
    <w:rsid w:val="00B17908"/>
    <w:rsid w:val="00B17E24"/>
    <w:rsid w:val="00B207B9"/>
    <w:rsid w:val="00B208CD"/>
    <w:rsid w:val="00B20E6B"/>
    <w:rsid w:val="00B21240"/>
    <w:rsid w:val="00B21BD9"/>
    <w:rsid w:val="00B221F4"/>
    <w:rsid w:val="00B22935"/>
    <w:rsid w:val="00B22E43"/>
    <w:rsid w:val="00B239DE"/>
    <w:rsid w:val="00B23B55"/>
    <w:rsid w:val="00B23E44"/>
    <w:rsid w:val="00B2478E"/>
    <w:rsid w:val="00B2485C"/>
    <w:rsid w:val="00B25564"/>
    <w:rsid w:val="00B260F8"/>
    <w:rsid w:val="00B26647"/>
    <w:rsid w:val="00B26CAF"/>
    <w:rsid w:val="00B277A4"/>
    <w:rsid w:val="00B27DAC"/>
    <w:rsid w:val="00B313A5"/>
    <w:rsid w:val="00B31EB8"/>
    <w:rsid w:val="00B32376"/>
    <w:rsid w:val="00B32C86"/>
    <w:rsid w:val="00B335A0"/>
    <w:rsid w:val="00B33862"/>
    <w:rsid w:val="00B33BF1"/>
    <w:rsid w:val="00B33C91"/>
    <w:rsid w:val="00B348EA"/>
    <w:rsid w:val="00B34E06"/>
    <w:rsid w:val="00B3508A"/>
    <w:rsid w:val="00B350EF"/>
    <w:rsid w:val="00B35D98"/>
    <w:rsid w:val="00B369CA"/>
    <w:rsid w:val="00B36BDB"/>
    <w:rsid w:val="00B36D4F"/>
    <w:rsid w:val="00B373FF"/>
    <w:rsid w:val="00B37B2A"/>
    <w:rsid w:val="00B4027D"/>
    <w:rsid w:val="00B419DF"/>
    <w:rsid w:val="00B41B1D"/>
    <w:rsid w:val="00B42184"/>
    <w:rsid w:val="00B42266"/>
    <w:rsid w:val="00B424F1"/>
    <w:rsid w:val="00B43071"/>
    <w:rsid w:val="00B436AF"/>
    <w:rsid w:val="00B437E3"/>
    <w:rsid w:val="00B444BF"/>
    <w:rsid w:val="00B4489A"/>
    <w:rsid w:val="00B45A67"/>
    <w:rsid w:val="00B45A6E"/>
    <w:rsid w:val="00B45B2F"/>
    <w:rsid w:val="00B45B9B"/>
    <w:rsid w:val="00B469CE"/>
    <w:rsid w:val="00B46A1A"/>
    <w:rsid w:val="00B4733E"/>
    <w:rsid w:val="00B47401"/>
    <w:rsid w:val="00B47C8C"/>
    <w:rsid w:val="00B50556"/>
    <w:rsid w:val="00B50A67"/>
    <w:rsid w:val="00B5154C"/>
    <w:rsid w:val="00B51587"/>
    <w:rsid w:val="00B5187F"/>
    <w:rsid w:val="00B5222A"/>
    <w:rsid w:val="00B5277D"/>
    <w:rsid w:val="00B53068"/>
    <w:rsid w:val="00B5336C"/>
    <w:rsid w:val="00B53748"/>
    <w:rsid w:val="00B53BA2"/>
    <w:rsid w:val="00B548C9"/>
    <w:rsid w:val="00B55594"/>
    <w:rsid w:val="00B56671"/>
    <w:rsid w:val="00B566D7"/>
    <w:rsid w:val="00B569F4"/>
    <w:rsid w:val="00B57994"/>
    <w:rsid w:val="00B60C20"/>
    <w:rsid w:val="00B61572"/>
    <w:rsid w:val="00B618AC"/>
    <w:rsid w:val="00B62466"/>
    <w:rsid w:val="00B6267A"/>
    <w:rsid w:val="00B62B01"/>
    <w:rsid w:val="00B62D42"/>
    <w:rsid w:val="00B6345D"/>
    <w:rsid w:val="00B635B2"/>
    <w:rsid w:val="00B63DD6"/>
    <w:rsid w:val="00B6407C"/>
    <w:rsid w:val="00B647C5"/>
    <w:rsid w:val="00B64C88"/>
    <w:rsid w:val="00B65156"/>
    <w:rsid w:val="00B655FE"/>
    <w:rsid w:val="00B66220"/>
    <w:rsid w:val="00B665F3"/>
    <w:rsid w:val="00B66D5F"/>
    <w:rsid w:val="00B676B8"/>
    <w:rsid w:val="00B6790E"/>
    <w:rsid w:val="00B6796C"/>
    <w:rsid w:val="00B7002F"/>
    <w:rsid w:val="00B70158"/>
    <w:rsid w:val="00B713CC"/>
    <w:rsid w:val="00B71B5D"/>
    <w:rsid w:val="00B72332"/>
    <w:rsid w:val="00B74C6A"/>
    <w:rsid w:val="00B75901"/>
    <w:rsid w:val="00B764C2"/>
    <w:rsid w:val="00B76AB4"/>
    <w:rsid w:val="00B772CB"/>
    <w:rsid w:val="00B77AFE"/>
    <w:rsid w:val="00B77CCF"/>
    <w:rsid w:val="00B80173"/>
    <w:rsid w:val="00B801BF"/>
    <w:rsid w:val="00B8029C"/>
    <w:rsid w:val="00B809C0"/>
    <w:rsid w:val="00B80EBA"/>
    <w:rsid w:val="00B81224"/>
    <w:rsid w:val="00B81A69"/>
    <w:rsid w:val="00B82648"/>
    <w:rsid w:val="00B82957"/>
    <w:rsid w:val="00B82EB3"/>
    <w:rsid w:val="00B83147"/>
    <w:rsid w:val="00B83C93"/>
    <w:rsid w:val="00B84E69"/>
    <w:rsid w:val="00B854A8"/>
    <w:rsid w:val="00B858FC"/>
    <w:rsid w:val="00B85ECF"/>
    <w:rsid w:val="00B86AEC"/>
    <w:rsid w:val="00B8717D"/>
    <w:rsid w:val="00B87BFF"/>
    <w:rsid w:val="00B9143C"/>
    <w:rsid w:val="00B91C2D"/>
    <w:rsid w:val="00B91D23"/>
    <w:rsid w:val="00B9331A"/>
    <w:rsid w:val="00B93728"/>
    <w:rsid w:val="00B94140"/>
    <w:rsid w:val="00B941C9"/>
    <w:rsid w:val="00B9522F"/>
    <w:rsid w:val="00B955D0"/>
    <w:rsid w:val="00B9609A"/>
    <w:rsid w:val="00B962A2"/>
    <w:rsid w:val="00B97317"/>
    <w:rsid w:val="00BA09C6"/>
    <w:rsid w:val="00BA11F5"/>
    <w:rsid w:val="00BA12E1"/>
    <w:rsid w:val="00BA1A48"/>
    <w:rsid w:val="00BA2767"/>
    <w:rsid w:val="00BA3322"/>
    <w:rsid w:val="00BA342A"/>
    <w:rsid w:val="00BA407D"/>
    <w:rsid w:val="00BA409F"/>
    <w:rsid w:val="00BA4770"/>
    <w:rsid w:val="00BA47AC"/>
    <w:rsid w:val="00BA4EDF"/>
    <w:rsid w:val="00BA53C3"/>
    <w:rsid w:val="00BA645D"/>
    <w:rsid w:val="00BA6A51"/>
    <w:rsid w:val="00BA6DFD"/>
    <w:rsid w:val="00BA6F12"/>
    <w:rsid w:val="00BA71A1"/>
    <w:rsid w:val="00BA75CB"/>
    <w:rsid w:val="00BA7906"/>
    <w:rsid w:val="00BA7B8E"/>
    <w:rsid w:val="00BB12B6"/>
    <w:rsid w:val="00BB1E49"/>
    <w:rsid w:val="00BB2B73"/>
    <w:rsid w:val="00BB3149"/>
    <w:rsid w:val="00BB3153"/>
    <w:rsid w:val="00BB3FBD"/>
    <w:rsid w:val="00BB4424"/>
    <w:rsid w:val="00BB4745"/>
    <w:rsid w:val="00BB47B3"/>
    <w:rsid w:val="00BB4BDE"/>
    <w:rsid w:val="00BB4E10"/>
    <w:rsid w:val="00BB56FD"/>
    <w:rsid w:val="00BB5D07"/>
    <w:rsid w:val="00BB5DC4"/>
    <w:rsid w:val="00BB6F5D"/>
    <w:rsid w:val="00BB76A5"/>
    <w:rsid w:val="00BB7829"/>
    <w:rsid w:val="00BB7EBE"/>
    <w:rsid w:val="00BC07BB"/>
    <w:rsid w:val="00BC08E5"/>
    <w:rsid w:val="00BC119E"/>
    <w:rsid w:val="00BC1490"/>
    <w:rsid w:val="00BC198C"/>
    <w:rsid w:val="00BC1D31"/>
    <w:rsid w:val="00BC271E"/>
    <w:rsid w:val="00BC2A42"/>
    <w:rsid w:val="00BC3073"/>
    <w:rsid w:val="00BC372C"/>
    <w:rsid w:val="00BC49BF"/>
    <w:rsid w:val="00BC7DF5"/>
    <w:rsid w:val="00BD03FA"/>
    <w:rsid w:val="00BD08C2"/>
    <w:rsid w:val="00BD090B"/>
    <w:rsid w:val="00BD0A01"/>
    <w:rsid w:val="00BD1129"/>
    <w:rsid w:val="00BD1FEF"/>
    <w:rsid w:val="00BD286E"/>
    <w:rsid w:val="00BD2A48"/>
    <w:rsid w:val="00BD2CBD"/>
    <w:rsid w:val="00BD3095"/>
    <w:rsid w:val="00BD3D4F"/>
    <w:rsid w:val="00BD503D"/>
    <w:rsid w:val="00BD567A"/>
    <w:rsid w:val="00BD6175"/>
    <w:rsid w:val="00BD641A"/>
    <w:rsid w:val="00BE0117"/>
    <w:rsid w:val="00BE0646"/>
    <w:rsid w:val="00BE0B04"/>
    <w:rsid w:val="00BE1B6E"/>
    <w:rsid w:val="00BE2915"/>
    <w:rsid w:val="00BE35D3"/>
    <w:rsid w:val="00BE38F4"/>
    <w:rsid w:val="00BE48FF"/>
    <w:rsid w:val="00BE5A6C"/>
    <w:rsid w:val="00BE5ABC"/>
    <w:rsid w:val="00BE5AC1"/>
    <w:rsid w:val="00BE6273"/>
    <w:rsid w:val="00BE657F"/>
    <w:rsid w:val="00BE65B1"/>
    <w:rsid w:val="00BE675B"/>
    <w:rsid w:val="00BE6C03"/>
    <w:rsid w:val="00BE7308"/>
    <w:rsid w:val="00BE7BF7"/>
    <w:rsid w:val="00BF0E9C"/>
    <w:rsid w:val="00BF1E81"/>
    <w:rsid w:val="00BF2BD6"/>
    <w:rsid w:val="00BF2F75"/>
    <w:rsid w:val="00BF30CC"/>
    <w:rsid w:val="00BF3A2E"/>
    <w:rsid w:val="00BF42E2"/>
    <w:rsid w:val="00BF4443"/>
    <w:rsid w:val="00BF4552"/>
    <w:rsid w:val="00BF46D2"/>
    <w:rsid w:val="00BF4A4E"/>
    <w:rsid w:val="00BF4F52"/>
    <w:rsid w:val="00BF51C4"/>
    <w:rsid w:val="00BF54CD"/>
    <w:rsid w:val="00BF5EDF"/>
    <w:rsid w:val="00BF639D"/>
    <w:rsid w:val="00BF6780"/>
    <w:rsid w:val="00BF6832"/>
    <w:rsid w:val="00BF6F8D"/>
    <w:rsid w:val="00C00089"/>
    <w:rsid w:val="00C00351"/>
    <w:rsid w:val="00C0067E"/>
    <w:rsid w:val="00C00805"/>
    <w:rsid w:val="00C0147E"/>
    <w:rsid w:val="00C01E41"/>
    <w:rsid w:val="00C01F85"/>
    <w:rsid w:val="00C03EBC"/>
    <w:rsid w:val="00C04AF5"/>
    <w:rsid w:val="00C051C4"/>
    <w:rsid w:val="00C05872"/>
    <w:rsid w:val="00C05C5E"/>
    <w:rsid w:val="00C05FF5"/>
    <w:rsid w:val="00C07151"/>
    <w:rsid w:val="00C07680"/>
    <w:rsid w:val="00C07B5B"/>
    <w:rsid w:val="00C07FF7"/>
    <w:rsid w:val="00C105F6"/>
    <w:rsid w:val="00C109A9"/>
    <w:rsid w:val="00C10B41"/>
    <w:rsid w:val="00C10BE4"/>
    <w:rsid w:val="00C11064"/>
    <w:rsid w:val="00C113B1"/>
    <w:rsid w:val="00C11DFA"/>
    <w:rsid w:val="00C11ED7"/>
    <w:rsid w:val="00C137B0"/>
    <w:rsid w:val="00C140DB"/>
    <w:rsid w:val="00C144AA"/>
    <w:rsid w:val="00C14BC5"/>
    <w:rsid w:val="00C16408"/>
    <w:rsid w:val="00C17770"/>
    <w:rsid w:val="00C17D1C"/>
    <w:rsid w:val="00C202A7"/>
    <w:rsid w:val="00C203E5"/>
    <w:rsid w:val="00C20555"/>
    <w:rsid w:val="00C20B80"/>
    <w:rsid w:val="00C20EDD"/>
    <w:rsid w:val="00C22431"/>
    <w:rsid w:val="00C224C0"/>
    <w:rsid w:val="00C226FF"/>
    <w:rsid w:val="00C23C8F"/>
    <w:rsid w:val="00C242DE"/>
    <w:rsid w:val="00C25186"/>
    <w:rsid w:val="00C25946"/>
    <w:rsid w:val="00C259C4"/>
    <w:rsid w:val="00C26C56"/>
    <w:rsid w:val="00C26DB6"/>
    <w:rsid w:val="00C26EEF"/>
    <w:rsid w:val="00C304C6"/>
    <w:rsid w:val="00C30D8E"/>
    <w:rsid w:val="00C31233"/>
    <w:rsid w:val="00C3140F"/>
    <w:rsid w:val="00C3165B"/>
    <w:rsid w:val="00C32140"/>
    <w:rsid w:val="00C32494"/>
    <w:rsid w:val="00C330CE"/>
    <w:rsid w:val="00C3383A"/>
    <w:rsid w:val="00C3395D"/>
    <w:rsid w:val="00C345CE"/>
    <w:rsid w:val="00C347BB"/>
    <w:rsid w:val="00C3544A"/>
    <w:rsid w:val="00C355AD"/>
    <w:rsid w:val="00C36688"/>
    <w:rsid w:val="00C36844"/>
    <w:rsid w:val="00C36B54"/>
    <w:rsid w:val="00C36C48"/>
    <w:rsid w:val="00C401EA"/>
    <w:rsid w:val="00C408F8"/>
    <w:rsid w:val="00C40DC9"/>
    <w:rsid w:val="00C41542"/>
    <w:rsid w:val="00C4221F"/>
    <w:rsid w:val="00C42C04"/>
    <w:rsid w:val="00C43032"/>
    <w:rsid w:val="00C43066"/>
    <w:rsid w:val="00C43EF2"/>
    <w:rsid w:val="00C44978"/>
    <w:rsid w:val="00C44B91"/>
    <w:rsid w:val="00C4576E"/>
    <w:rsid w:val="00C46865"/>
    <w:rsid w:val="00C469C1"/>
    <w:rsid w:val="00C46D70"/>
    <w:rsid w:val="00C46E19"/>
    <w:rsid w:val="00C4723F"/>
    <w:rsid w:val="00C4758B"/>
    <w:rsid w:val="00C478B0"/>
    <w:rsid w:val="00C4792F"/>
    <w:rsid w:val="00C479B6"/>
    <w:rsid w:val="00C502A6"/>
    <w:rsid w:val="00C50343"/>
    <w:rsid w:val="00C50988"/>
    <w:rsid w:val="00C50DE6"/>
    <w:rsid w:val="00C51ABE"/>
    <w:rsid w:val="00C52D10"/>
    <w:rsid w:val="00C5388A"/>
    <w:rsid w:val="00C547D5"/>
    <w:rsid w:val="00C54EBA"/>
    <w:rsid w:val="00C564AD"/>
    <w:rsid w:val="00C56637"/>
    <w:rsid w:val="00C56A27"/>
    <w:rsid w:val="00C5726A"/>
    <w:rsid w:val="00C5788F"/>
    <w:rsid w:val="00C60AD5"/>
    <w:rsid w:val="00C6123B"/>
    <w:rsid w:val="00C61409"/>
    <w:rsid w:val="00C6156E"/>
    <w:rsid w:val="00C615D2"/>
    <w:rsid w:val="00C627E2"/>
    <w:rsid w:val="00C62A12"/>
    <w:rsid w:val="00C632F2"/>
    <w:rsid w:val="00C6371E"/>
    <w:rsid w:val="00C63DBA"/>
    <w:rsid w:val="00C64272"/>
    <w:rsid w:val="00C64B1C"/>
    <w:rsid w:val="00C64D9C"/>
    <w:rsid w:val="00C64F2C"/>
    <w:rsid w:val="00C65FCF"/>
    <w:rsid w:val="00C66484"/>
    <w:rsid w:val="00C6683C"/>
    <w:rsid w:val="00C66CBA"/>
    <w:rsid w:val="00C6736A"/>
    <w:rsid w:val="00C67D3A"/>
    <w:rsid w:val="00C7027D"/>
    <w:rsid w:val="00C70487"/>
    <w:rsid w:val="00C708FB"/>
    <w:rsid w:val="00C70B54"/>
    <w:rsid w:val="00C70E84"/>
    <w:rsid w:val="00C71837"/>
    <w:rsid w:val="00C71910"/>
    <w:rsid w:val="00C71B17"/>
    <w:rsid w:val="00C71C72"/>
    <w:rsid w:val="00C71D5E"/>
    <w:rsid w:val="00C71DD6"/>
    <w:rsid w:val="00C71E7E"/>
    <w:rsid w:val="00C72073"/>
    <w:rsid w:val="00C72147"/>
    <w:rsid w:val="00C72D92"/>
    <w:rsid w:val="00C73F4A"/>
    <w:rsid w:val="00C7463D"/>
    <w:rsid w:val="00C7473A"/>
    <w:rsid w:val="00C748BB"/>
    <w:rsid w:val="00C74AD1"/>
    <w:rsid w:val="00C74FEC"/>
    <w:rsid w:val="00C75606"/>
    <w:rsid w:val="00C757B9"/>
    <w:rsid w:val="00C76DB5"/>
    <w:rsid w:val="00C77603"/>
    <w:rsid w:val="00C807FE"/>
    <w:rsid w:val="00C808EF"/>
    <w:rsid w:val="00C8204F"/>
    <w:rsid w:val="00C82501"/>
    <w:rsid w:val="00C82A2E"/>
    <w:rsid w:val="00C83A80"/>
    <w:rsid w:val="00C84E15"/>
    <w:rsid w:val="00C850E3"/>
    <w:rsid w:val="00C85E1C"/>
    <w:rsid w:val="00C8691D"/>
    <w:rsid w:val="00C87790"/>
    <w:rsid w:val="00C8794D"/>
    <w:rsid w:val="00C87A81"/>
    <w:rsid w:val="00C87E0D"/>
    <w:rsid w:val="00C9087B"/>
    <w:rsid w:val="00C90C23"/>
    <w:rsid w:val="00C90FD6"/>
    <w:rsid w:val="00C9179C"/>
    <w:rsid w:val="00C91E96"/>
    <w:rsid w:val="00C93418"/>
    <w:rsid w:val="00C93985"/>
    <w:rsid w:val="00C93EEC"/>
    <w:rsid w:val="00C93F04"/>
    <w:rsid w:val="00C93FA4"/>
    <w:rsid w:val="00C948B7"/>
    <w:rsid w:val="00C95685"/>
    <w:rsid w:val="00C96351"/>
    <w:rsid w:val="00C969E5"/>
    <w:rsid w:val="00C972AA"/>
    <w:rsid w:val="00C973F5"/>
    <w:rsid w:val="00C975BF"/>
    <w:rsid w:val="00C97918"/>
    <w:rsid w:val="00CA03B6"/>
    <w:rsid w:val="00CA0456"/>
    <w:rsid w:val="00CA0659"/>
    <w:rsid w:val="00CA0697"/>
    <w:rsid w:val="00CA0E1B"/>
    <w:rsid w:val="00CA0F29"/>
    <w:rsid w:val="00CA2BF4"/>
    <w:rsid w:val="00CA3B40"/>
    <w:rsid w:val="00CA4B6D"/>
    <w:rsid w:val="00CA5E57"/>
    <w:rsid w:val="00CA6BCF"/>
    <w:rsid w:val="00CA7033"/>
    <w:rsid w:val="00CA74E0"/>
    <w:rsid w:val="00CB01B0"/>
    <w:rsid w:val="00CB0D18"/>
    <w:rsid w:val="00CB0E3C"/>
    <w:rsid w:val="00CB251D"/>
    <w:rsid w:val="00CB2C0B"/>
    <w:rsid w:val="00CB2E02"/>
    <w:rsid w:val="00CB33EE"/>
    <w:rsid w:val="00CB3502"/>
    <w:rsid w:val="00CB5547"/>
    <w:rsid w:val="00CB5C68"/>
    <w:rsid w:val="00CB5F1B"/>
    <w:rsid w:val="00CB5F3A"/>
    <w:rsid w:val="00CB6063"/>
    <w:rsid w:val="00CB6F5F"/>
    <w:rsid w:val="00CB704B"/>
    <w:rsid w:val="00CB76EC"/>
    <w:rsid w:val="00CC042C"/>
    <w:rsid w:val="00CC0F8D"/>
    <w:rsid w:val="00CC2620"/>
    <w:rsid w:val="00CC2C29"/>
    <w:rsid w:val="00CC2E36"/>
    <w:rsid w:val="00CC315D"/>
    <w:rsid w:val="00CC46CA"/>
    <w:rsid w:val="00CC6440"/>
    <w:rsid w:val="00CC7D03"/>
    <w:rsid w:val="00CD0446"/>
    <w:rsid w:val="00CD0658"/>
    <w:rsid w:val="00CD0D93"/>
    <w:rsid w:val="00CD14BC"/>
    <w:rsid w:val="00CD150D"/>
    <w:rsid w:val="00CD1A0E"/>
    <w:rsid w:val="00CD1FC0"/>
    <w:rsid w:val="00CD290D"/>
    <w:rsid w:val="00CD2D5B"/>
    <w:rsid w:val="00CD33EB"/>
    <w:rsid w:val="00CD4328"/>
    <w:rsid w:val="00CD43FB"/>
    <w:rsid w:val="00CD55B3"/>
    <w:rsid w:val="00CD5A5A"/>
    <w:rsid w:val="00CD5A85"/>
    <w:rsid w:val="00CD643B"/>
    <w:rsid w:val="00CD6FAF"/>
    <w:rsid w:val="00CD7345"/>
    <w:rsid w:val="00CD7A98"/>
    <w:rsid w:val="00CD7C27"/>
    <w:rsid w:val="00CD7E78"/>
    <w:rsid w:val="00CE1A3A"/>
    <w:rsid w:val="00CE1DAD"/>
    <w:rsid w:val="00CE249B"/>
    <w:rsid w:val="00CE34B0"/>
    <w:rsid w:val="00CE4CF5"/>
    <w:rsid w:val="00CE5D85"/>
    <w:rsid w:val="00CE610F"/>
    <w:rsid w:val="00CE691B"/>
    <w:rsid w:val="00CE7029"/>
    <w:rsid w:val="00CE7225"/>
    <w:rsid w:val="00CE79E6"/>
    <w:rsid w:val="00CE7CB1"/>
    <w:rsid w:val="00CE7D09"/>
    <w:rsid w:val="00CF103B"/>
    <w:rsid w:val="00CF1449"/>
    <w:rsid w:val="00CF15BF"/>
    <w:rsid w:val="00CF1910"/>
    <w:rsid w:val="00CF21C7"/>
    <w:rsid w:val="00CF2CAB"/>
    <w:rsid w:val="00CF31ED"/>
    <w:rsid w:val="00CF32F8"/>
    <w:rsid w:val="00CF378A"/>
    <w:rsid w:val="00CF4287"/>
    <w:rsid w:val="00CF42D7"/>
    <w:rsid w:val="00CF5052"/>
    <w:rsid w:val="00CF5F2D"/>
    <w:rsid w:val="00CF646F"/>
    <w:rsid w:val="00CF6473"/>
    <w:rsid w:val="00CF7832"/>
    <w:rsid w:val="00D00181"/>
    <w:rsid w:val="00D002EF"/>
    <w:rsid w:val="00D00C01"/>
    <w:rsid w:val="00D00E69"/>
    <w:rsid w:val="00D00EE2"/>
    <w:rsid w:val="00D01363"/>
    <w:rsid w:val="00D0169E"/>
    <w:rsid w:val="00D016A8"/>
    <w:rsid w:val="00D0270C"/>
    <w:rsid w:val="00D0319D"/>
    <w:rsid w:val="00D032F9"/>
    <w:rsid w:val="00D03593"/>
    <w:rsid w:val="00D03B6C"/>
    <w:rsid w:val="00D03EBA"/>
    <w:rsid w:val="00D03F5C"/>
    <w:rsid w:val="00D04046"/>
    <w:rsid w:val="00D043CB"/>
    <w:rsid w:val="00D04944"/>
    <w:rsid w:val="00D05360"/>
    <w:rsid w:val="00D061C1"/>
    <w:rsid w:val="00D07C62"/>
    <w:rsid w:val="00D103ED"/>
    <w:rsid w:val="00D116E2"/>
    <w:rsid w:val="00D11F73"/>
    <w:rsid w:val="00D12917"/>
    <w:rsid w:val="00D12A82"/>
    <w:rsid w:val="00D12BFD"/>
    <w:rsid w:val="00D1459D"/>
    <w:rsid w:val="00D15911"/>
    <w:rsid w:val="00D15922"/>
    <w:rsid w:val="00D16233"/>
    <w:rsid w:val="00D165F4"/>
    <w:rsid w:val="00D17BDE"/>
    <w:rsid w:val="00D20E72"/>
    <w:rsid w:val="00D215A4"/>
    <w:rsid w:val="00D21721"/>
    <w:rsid w:val="00D218A2"/>
    <w:rsid w:val="00D21C08"/>
    <w:rsid w:val="00D22958"/>
    <w:rsid w:val="00D22C71"/>
    <w:rsid w:val="00D22EF2"/>
    <w:rsid w:val="00D22F6E"/>
    <w:rsid w:val="00D23149"/>
    <w:rsid w:val="00D2362D"/>
    <w:rsid w:val="00D23C76"/>
    <w:rsid w:val="00D23EE0"/>
    <w:rsid w:val="00D2402C"/>
    <w:rsid w:val="00D24CCF"/>
    <w:rsid w:val="00D24FA7"/>
    <w:rsid w:val="00D2520B"/>
    <w:rsid w:val="00D25B56"/>
    <w:rsid w:val="00D2698E"/>
    <w:rsid w:val="00D277E6"/>
    <w:rsid w:val="00D27826"/>
    <w:rsid w:val="00D278C2"/>
    <w:rsid w:val="00D308CA"/>
    <w:rsid w:val="00D30CA7"/>
    <w:rsid w:val="00D31B42"/>
    <w:rsid w:val="00D32126"/>
    <w:rsid w:val="00D329DC"/>
    <w:rsid w:val="00D33CBC"/>
    <w:rsid w:val="00D33FDF"/>
    <w:rsid w:val="00D34434"/>
    <w:rsid w:val="00D3464C"/>
    <w:rsid w:val="00D34AC4"/>
    <w:rsid w:val="00D35830"/>
    <w:rsid w:val="00D37104"/>
    <w:rsid w:val="00D40932"/>
    <w:rsid w:val="00D4154C"/>
    <w:rsid w:val="00D418DD"/>
    <w:rsid w:val="00D41DDC"/>
    <w:rsid w:val="00D4205F"/>
    <w:rsid w:val="00D4207A"/>
    <w:rsid w:val="00D420FA"/>
    <w:rsid w:val="00D42161"/>
    <w:rsid w:val="00D42CA2"/>
    <w:rsid w:val="00D42E7A"/>
    <w:rsid w:val="00D43795"/>
    <w:rsid w:val="00D449E7"/>
    <w:rsid w:val="00D449E8"/>
    <w:rsid w:val="00D453E4"/>
    <w:rsid w:val="00D45D42"/>
    <w:rsid w:val="00D4619B"/>
    <w:rsid w:val="00D46454"/>
    <w:rsid w:val="00D467E8"/>
    <w:rsid w:val="00D47312"/>
    <w:rsid w:val="00D5010F"/>
    <w:rsid w:val="00D5060C"/>
    <w:rsid w:val="00D50B1A"/>
    <w:rsid w:val="00D50F48"/>
    <w:rsid w:val="00D52037"/>
    <w:rsid w:val="00D521A1"/>
    <w:rsid w:val="00D528C9"/>
    <w:rsid w:val="00D52B30"/>
    <w:rsid w:val="00D53BB0"/>
    <w:rsid w:val="00D54159"/>
    <w:rsid w:val="00D5460A"/>
    <w:rsid w:val="00D54A7F"/>
    <w:rsid w:val="00D55FA2"/>
    <w:rsid w:val="00D608A5"/>
    <w:rsid w:val="00D61D43"/>
    <w:rsid w:val="00D6213B"/>
    <w:rsid w:val="00D623A6"/>
    <w:rsid w:val="00D627EC"/>
    <w:rsid w:val="00D62861"/>
    <w:rsid w:val="00D62E47"/>
    <w:rsid w:val="00D63E1F"/>
    <w:rsid w:val="00D63E23"/>
    <w:rsid w:val="00D64EE1"/>
    <w:rsid w:val="00D658A3"/>
    <w:rsid w:val="00D65A6E"/>
    <w:rsid w:val="00D661E2"/>
    <w:rsid w:val="00D676CA"/>
    <w:rsid w:val="00D67B97"/>
    <w:rsid w:val="00D67C60"/>
    <w:rsid w:val="00D70012"/>
    <w:rsid w:val="00D70247"/>
    <w:rsid w:val="00D70288"/>
    <w:rsid w:val="00D709CB"/>
    <w:rsid w:val="00D70D14"/>
    <w:rsid w:val="00D71BAC"/>
    <w:rsid w:val="00D72A22"/>
    <w:rsid w:val="00D72A9F"/>
    <w:rsid w:val="00D72B04"/>
    <w:rsid w:val="00D73834"/>
    <w:rsid w:val="00D73F62"/>
    <w:rsid w:val="00D74046"/>
    <w:rsid w:val="00D74224"/>
    <w:rsid w:val="00D744DA"/>
    <w:rsid w:val="00D75556"/>
    <w:rsid w:val="00D75B88"/>
    <w:rsid w:val="00D761FA"/>
    <w:rsid w:val="00D76367"/>
    <w:rsid w:val="00D76D1B"/>
    <w:rsid w:val="00D76F92"/>
    <w:rsid w:val="00D7712E"/>
    <w:rsid w:val="00D77328"/>
    <w:rsid w:val="00D7764D"/>
    <w:rsid w:val="00D77C4D"/>
    <w:rsid w:val="00D80131"/>
    <w:rsid w:val="00D802D4"/>
    <w:rsid w:val="00D80D5B"/>
    <w:rsid w:val="00D82741"/>
    <w:rsid w:val="00D82A06"/>
    <w:rsid w:val="00D82B6F"/>
    <w:rsid w:val="00D82F0F"/>
    <w:rsid w:val="00D83289"/>
    <w:rsid w:val="00D83AC1"/>
    <w:rsid w:val="00D84A04"/>
    <w:rsid w:val="00D84F4E"/>
    <w:rsid w:val="00D85831"/>
    <w:rsid w:val="00D85B32"/>
    <w:rsid w:val="00D86F28"/>
    <w:rsid w:val="00D87D5D"/>
    <w:rsid w:val="00D909A7"/>
    <w:rsid w:val="00D90D57"/>
    <w:rsid w:val="00D911CB"/>
    <w:rsid w:val="00D9131D"/>
    <w:rsid w:val="00D91CC4"/>
    <w:rsid w:val="00D9283D"/>
    <w:rsid w:val="00D92F89"/>
    <w:rsid w:val="00D935A1"/>
    <w:rsid w:val="00D93D4F"/>
    <w:rsid w:val="00D93D7D"/>
    <w:rsid w:val="00D951E4"/>
    <w:rsid w:val="00D953E1"/>
    <w:rsid w:val="00D95587"/>
    <w:rsid w:val="00D958B3"/>
    <w:rsid w:val="00D95D34"/>
    <w:rsid w:val="00D9633F"/>
    <w:rsid w:val="00D97084"/>
    <w:rsid w:val="00D970E8"/>
    <w:rsid w:val="00DA0DDB"/>
    <w:rsid w:val="00DA30A3"/>
    <w:rsid w:val="00DA314C"/>
    <w:rsid w:val="00DA42D8"/>
    <w:rsid w:val="00DA4E63"/>
    <w:rsid w:val="00DA52B6"/>
    <w:rsid w:val="00DA636E"/>
    <w:rsid w:val="00DA6634"/>
    <w:rsid w:val="00DA69C5"/>
    <w:rsid w:val="00DA6C4D"/>
    <w:rsid w:val="00DA702F"/>
    <w:rsid w:val="00DA7862"/>
    <w:rsid w:val="00DB03D1"/>
    <w:rsid w:val="00DB103F"/>
    <w:rsid w:val="00DB138E"/>
    <w:rsid w:val="00DB1849"/>
    <w:rsid w:val="00DB2A31"/>
    <w:rsid w:val="00DB2F68"/>
    <w:rsid w:val="00DB3892"/>
    <w:rsid w:val="00DB39BF"/>
    <w:rsid w:val="00DB48ED"/>
    <w:rsid w:val="00DB52E3"/>
    <w:rsid w:val="00DB641B"/>
    <w:rsid w:val="00DB6EA0"/>
    <w:rsid w:val="00DB7414"/>
    <w:rsid w:val="00DB7A28"/>
    <w:rsid w:val="00DC092F"/>
    <w:rsid w:val="00DC1CF9"/>
    <w:rsid w:val="00DC1E85"/>
    <w:rsid w:val="00DC20ED"/>
    <w:rsid w:val="00DC21B7"/>
    <w:rsid w:val="00DC37DF"/>
    <w:rsid w:val="00DC3A0E"/>
    <w:rsid w:val="00DC3D4A"/>
    <w:rsid w:val="00DC45BE"/>
    <w:rsid w:val="00DC58D0"/>
    <w:rsid w:val="00DC6384"/>
    <w:rsid w:val="00DC6EC1"/>
    <w:rsid w:val="00DC6FD9"/>
    <w:rsid w:val="00DC792F"/>
    <w:rsid w:val="00DC7D91"/>
    <w:rsid w:val="00DD067B"/>
    <w:rsid w:val="00DD1525"/>
    <w:rsid w:val="00DD19D9"/>
    <w:rsid w:val="00DD1C80"/>
    <w:rsid w:val="00DD31F7"/>
    <w:rsid w:val="00DD386F"/>
    <w:rsid w:val="00DD42C6"/>
    <w:rsid w:val="00DD49B2"/>
    <w:rsid w:val="00DD4BFF"/>
    <w:rsid w:val="00DD4EA9"/>
    <w:rsid w:val="00DD5063"/>
    <w:rsid w:val="00DD5467"/>
    <w:rsid w:val="00DD5915"/>
    <w:rsid w:val="00DD5E7A"/>
    <w:rsid w:val="00DD6950"/>
    <w:rsid w:val="00DD69BF"/>
    <w:rsid w:val="00DD6F30"/>
    <w:rsid w:val="00DD73DA"/>
    <w:rsid w:val="00DD76CB"/>
    <w:rsid w:val="00DD7BB5"/>
    <w:rsid w:val="00DE17B6"/>
    <w:rsid w:val="00DE2201"/>
    <w:rsid w:val="00DE23E0"/>
    <w:rsid w:val="00DE2A69"/>
    <w:rsid w:val="00DE320E"/>
    <w:rsid w:val="00DE3643"/>
    <w:rsid w:val="00DE3CCF"/>
    <w:rsid w:val="00DE4835"/>
    <w:rsid w:val="00DE52D2"/>
    <w:rsid w:val="00DE548F"/>
    <w:rsid w:val="00DE5569"/>
    <w:rsid w:val="00DE5CAF"/>
    <w:rsid w:val="00DE5D71"/>
    <w:rsid w:val="00DE6125"/>
    <w:rsid w:val="00DE6A88"/>
    <w:rsid w:val="00DE6E04"/>
    <w:rsid w:val="00DE724E"/>
    <w:rsid w:val="00DE7983"/>
    <w:rsid w:val="00DF0AB3"/>
    <w:rsid w:val="00DF1076"/>
    <w:rsid w:val="00DF2657"/>
    <w:rsid w:val="00DF28A4"/>
    <w:rsid w:val="00DF2BC1"/>
    <w:rsid w:val="00DF3539"/>
    <w:rsid w:val="00DF4589"/>
    <w:rsid w:val="00DF5336"/>
    <w:rsid w:val="00DF56BC"/>
    <w:rsid w:val="00DF5B69"/>
    <w:rsid w:val="00DF6766"/>
    <w:rsid w:val="00DF7200"/>
    <w:rsid w:val="00DF7903"/>
    <w:rsid w:val="00E007FE"/>
    <w:rsid w:val="00E01AD5"/>
    <w:rsid w:val="00E01B70"/>
    <w:rsid w:val="00E01D5C"/>
    <w:rsid w:val="00E026B0"/>
    <w:rsid w:val="00E03806"/>
    <w:rsid w:val="00E03F4D"/>
    <w:rsid w:val="00E047C6"/>
    <w:rsid w:val="00E04D9A"/>
    <w:rsid w:val="00E05AE4"/>
    <w:rsid w:val="00E05DF8"/>
    <w:rsid w:val="00E06796"/>
    <w:rsid w:val="00E072E4"/>
    <w:rsid w:val="00E11700"/>
    <w:rsid w:val="00E11864"/>
    <w:rsid w:val="00E11E7F"/>
    <w:rsid w:val="00E12DC6"/>
    <w:rsid w:val="00E13687"/>
    <w:rsid w:val="00E14111"/>
    <w:rsid w:val="00E146B8"/>
    <w:rsid w:val="00E14DCA"/>
    <w:rsid w:val="00E155AF"/>
    <w:rsid w:val="00E15934"/>
    <w:rsid w:val="00E159B9"/>
    <w:rsid w:val="00E15AFB"/>
    <w:rsid w:val="00E15CC9"/>
    <w:rsid w:val="00E15E27"/>
    <w:rsid w:val="00E16195"/>
    <w:rsid w:val="00E16912"/>
    <w:rsid w:val="00E16922"/>
    <w:rsid w:val="00E16BE5"/>
    <w:rsid w:val="00E175F8"/>
    <w:rsid w:val="00E20139"/>
    <w:rsid w:val="00E214DC"/>
    <w:rsid w:val="00E216C1"/>
    <w:rsid w:val="00E21F30"/>
    <w:rsid w:val="00E225E7"/>
    <w:rsid w:val="00E22A8D"/>
    <w:rsid w:val="00E22FE4"/>
    <w:rsid w:val="00E23B4E"/>
    <w:rsid w:val="00E2410B"/>
    <w:rsid w:val="00E24239"/>
    <w:rsid w:val="00E2439E"/>
    <w:rsid w:val="00E249BC"/>
    <w:rsid w:val="00E256DD"/>
    <w:rsid w:val="00E25CCA"/>
    <w:rsid w:val="00E262C6"/>
    <w:rsid w:val="00E26457"/>
    <w:rsid w:val="00E26DBA"/>
    <w:rsid w:val="00E2719B"/>
    <w:rsid w:val="00E2759E"/>
    <w:rsid w:val="00E27CDC"/>
    <w:rsid w:val="00E30BF3"/>
    <w:rsid w:val="00E3101A"/>
    <w:rsid w:val="00E315FE"/>
    <w:rsid w:val="00E3213A"/>
    <w:rsid w:val="00E324AD"/>
    <w:rsid w:val="00E32573"/>
    <w:rsid w:val="00E32CB7"/>
    <w:rsid w:val="00E33FCB"/>
    <w:rsid w:val="00E35CEB"/>
    <w:rsid w:val="00E364BC"/>
    <w:rsid w:val="00E36C55"/>
    <w:rsid w:val="00E3727C"/>
    <w:rsid w:val="00E40036"/>
    <w:rsid w:val="00E40245"/>
    <w:rsid w:val="00E4033A"/>
    <w:rsid w:val="00E4063D"/>
    <w:rsid w:val="00E416F8"/>
    <w:rsid w:val="00E41771"/>
    <w:rsid w:val="00E421EF"/>
    <w:rsid w:val="00E422AA"/>
    <w:rsid w:val="00E4236F"/>
    <w:rsid w:val="00E42619"/>
    <w:rsid w:val="00E42AF0"/>
    <w:rsid w:val="00E44521"/>
    <w:rsid w:val="00E44A80"/>
    <w:rsid w:val="00E46205"/>
    <w:rsid w:val="00E46328"/>
    <w:rsid w:val="00E46B10"/>
    <w:rsid w:val="00E471A6"/>
    <w:rsid w:val="00E47A1D"/>
    <w:rsid w:val="00E47F2D"/>
    <w:rsid w:val="00E50547"/>
    <w:rsid w:val="00E509BF"/>
    <w:rsid w:val="00E51013"/>
    <w:rsid w:val="00E523D9"/>
    <w:rsid w:val="00E523FF"/>
    <w:rsid w:val="00E52460"/>
    <w:rsid w:val="00E52AC1"/>
    <w:rsid w:val="00E53C94"/>
    <w:rsid w:val="00E54AC1"/>
    <w:rsid w:val="00E5571B"/>
    <w:rsid w:val="00E55974"/>
    <w:rsid w:val="00E55CE0"/>
    <w:rsid w:val="00E56B36"/>
    <w:rsid w:val="00E56C2B"/>
    <w:rsid w:val="00E56C88"/>
    <w:rsid w:val="00E56FC1"/>
    <w:rsid w:val="00E57200"/>
    <w:rsid w:val="00E57C3C"/>
    <w:rsid w:val="00E601A8"/>
    <w:rsid w:val="00E6087A"/>
    <w:rsid w:val="00E60A09"/>
    <w:rsid w:val="00E60F40"/>
    <w:rsid w:val="00E61196"/>
    <w:rsid w:val="00E61ADF"/>
    <w:rsid w:val="00E61AF6"/>
    <w:rsid w:val="00E6207A"/>
    <w:rsid w:val="00E623DA"/>
    <w:rsid w:val="00E624DE"/>
    <w:rsid w:val="00E62503"/>
    <w:rsid w:val="00E62A58"/>
    <w:rsid w:val="00E62BAD"/>
    <w:rsid w:val="00E6357F"/>
    <w:rsid w:val="00E63962"/>
    <w:rsid w:val="00E639B5"/>
    <w:rsid w:val="00E639D8"/>
    <w:rsid w:val="00E63D9E"/>
    <w:rsid w:val="00E64642"/>
    <w:rsid w:val="00E64EBF"/>
    <w:rsid w:val="00E65925"/>
    <w:rsid w:val="00E65AC7"/>
    <w:rsid w:val="00E65BA4"/>
    <w:rsid w:val="00E6788B"/>
    <w:rsid w:val="00E70504"/>
    <w:rsid w:val="00E71191"/>
    <w:rsid w:val="00E71891"/>
    <w:rsid w:val="00E71A27"/>
    <w:rsid w:val="00E71C35"/>
    <w:rsid w:val="00E71F48"/>
    <w:rsid w:val="00E72148"/>
    <w:rsid w:val="00E73694"/>
    <w:rsid w:val="00E738DB"/>
    <w:rsid w:val="00E73F76"/>
    <w:rsid w:val="00E74957"/>
    <w:rsid w:val="00E74BCA"/>
    <w:rsid w:val="00E75B54"/>
    <w:rsid w:val="00E76095"/>
    <w:rsid w:val="00E76169"/>
    <w:rsid w:val="00E7684F"/>
    <w:rsid w:val="00E769EA"/>
    <w:rsid w:val="00E76DFD"/>
    <w:rsid w:val="00E77284"/>
    <w:rsid w:val="00E77EB6"/>
    <w:rsid w:val="00E80243"/>
    <w:rsid w:val="00E8065E"/>
    <w:rsid w:val="00E80FC8"/>
    <w:rsid w:val="00E81186"/>
    <w:rsid w:val="00E81219"/>
    <w:rsid w:val="00E82032"/>
    <w:rsid w:val="00E8290C"/>
    <w:rsid w:val="00E82C5A"/>
    <w:rsid w:val="00E83FC4"/>
    <w:rsid w:val="00E843FD"/>
    <w:rsid w:val="00E851E6"/>
    <w:rsid w:val="00E855F1"/>
    <w:rsid w:val="00E8568E"/>
    <w:rsid w:val="00E85C3F"/>
    <w:rsid w:val="00E8606C"/>
    <w:rsid w:val="00E86A50"/>
    <w:rsid w:val="00E87089"/>
    <w:rsid w:val="00E87603"/>
    <w:rsid w:val="00E9087A"/>
    <w:rsid w:val="00E916BD"/>
    <w:rsid w:val="00E918E6"/>
    <w:rsid w:val="00E91D43"/>
    <w:rsid w:val="00E91F30"/>
    <w:rsid w:val="00E9211B"/>
    <w:rsid w:val="00E9221A"/>
    <w:rsid w:val="00E924E2"/>
    <w:rsid w:val="00E92B0A"/>
    <w:rsid w:val="00E92E56"/>
    <w:rsid w:val="00E930FB"/>
    <w:rsid w:val="00E94661"/>
    <w:rsid w:val="00E94BF0"/>
    <w:rsid w:val="00E96C49"/>
    <w:rsid w:val="00EA05F8"/>
    <w:rsid w:val="00EA0977"/>
    <w:rsid w:val="00EA0CCA"/>
    <w:rsid w:val="00EA19A0"/>
    <w:rsid w:val="00EA2003"/>
    <w:rsid w:val="00EA2709"/>
    <w:rsid w:val="00EA2E29"/>
    <w:rsid w:val="00EA335A"/>
    <w:rsid w:val="00EA3E93"/>
    <w:rsid w:val="00EA411C"/>
    <w:rsid w:val="00EA4456"/>
    <w:rsid w:val="00EA45B1"/>
    <w:rsid w:val="00EA46AD"/>
    <w:rsid w:val="00EA4C9C"/>
    <w:rsid w:val="00EA50A4"/>
    <w:rsid w:val="00EA57CA"/>
    <w:rsid w:val="00EA684C"/>
    <w:rsid w:val="00EA6F29"/>
    <w:rsid w:val="00EA79EA"/>
    <w:rsid w:val="00EA7CF8"/>
    <w:rsid w:val="00EB0DBD"/>
    <w:rsid w:val="00EB1063"/>
    <w:rsid w:val="00EB1A40"/>
    <w:rsid w:val="00EB1F8D"/>
    <w:rsid w:val="00EB251F"/>
    <w:rsid w:val="00EB4794"/>
    <w:rsid w:val="00EB4DD3"/>
    <w:rsid w:val="00EB4FB4"/>
    <w:rsid w:val="00EB54D0"/>
    <w:rsid w:val="00EB6300"/>
    <w:rsid w:val="00EB70EA"/>
    <w:rsid w:val="00EC006D"/>
    <w:rsid w:val="00EC0895"/>
    <w:rsid w:val="00EC0B3F"/>
    <w:rsid w:val="00EC0D4D"/>
    <w:rsid w:val="00EC11E4"/>
    <w:rsid w:val="00EC1721"/>
    <w:rsid w:val="00EC2C4A"/>
    <w:rsid w:val="00EC2D7C"/>
    <w:rsid w:val="00EC2E2D"/>
    <w:rsid w:val="00EC3051"/>
    <w:rsid w:val="00EC33AF"/>
    <w:rsid w:val="00EC3F45"/>
    <w:rsid w:val="00EC58D2"/>
    <w:rsid w:val="00EC6E2C"/>
    <w:rsid w:val="00EC76AF"/>
    <w:rsid w:val="00EC7A7A"/>
    <w:rsid w:val="00EC7CEF"/>
    <w:rsid w:val="00ED1098"/>
    <w:rsid w:val="00ED11EA"/>
    <w:rsid w:val="00ED1510"/>
    <w:rsid w:val="00ED1752"/>
    <w:rsid w:val="00ED39EF"/>
    <w:rsid w:val="00ED4583"/>
    <w:rsid w:val="00ED4665"/>
    <w:rsid w:val="00ED48E0"/>
    <w:rsid w:val="00ED526A"/>
    <w:rsid w:val="00ED60AE"/>
    <w:rsid w:val="00ED6381"/>
    <w:rsid w:val="00ED67B0"/>
    <w:rsid w:val="00ED6869"/>
    <w:rsid w:val="00ED6C00"/>
    <w:rsid w:val="00ED6FA8"/>
    <w:rsid w:val="00ED7C0C"/>
    <w:rsid w:val="00ED7F31"/>
    <w:rsid w:val="00EE0677"/>
    <w:rsid w:val="00EE0701"/>
    <w:rsid w:val="00EE1368"/>
    <w:rsid w:val="00EE1843"/>
    <w:rsid w:val="00EE1881"/>
    <w:rsid w:val="00EE2A31"/>
    <w:rsid w:val="00EE2B4A"/>
    <w:rsid w:val="00EE2DB2"/>
    <w:rsid w:val="00EE37C9"/>
    <w:rsid w:val="00EE39D9"/>
    <w:rsid w:val="00EE40D4"/>
    <w:rsid w:val="00EE4568"/>
    <w:rsid w:val="00EE4A37"/>
    <w:rsid w:val="00EE54D8"/>
    <w:rsid w:val="00EE7772"/>
    <w:rsid w:val="00EF01E9"/>
    <w:rsid w:val="00EF0449"/>
    <w:rsid w:val="00EF16D9"/>
    <w:rsid w:val="00EF24FE"/>
    <w:rsid w:val="00EF4F44"/>
    <w:rsid w:val="00EF5073"/>
    <w:rsid w:val="00EF5805"/>
    <w:rsid w:val="00EF68B0"/>
    <w:rsid w:val="00EF6C76"/>
    <w:rsid w:val="00EF6C8C"/>
    <w:rsid w:val="00EF74EB"/>
    <w:rsid w:val="00EF7B70"/>
    <w:rsid w:val="00EF7E1B"/>
    <w:rsid w:val="00F003CE"/>
    <w:rsid w:val="00F00546"/>
    <w:rsid w:val="00F00F98"/>
    <w:rsid w:val="00F01736"/>
    <w:rsid w:val="00F01C2E"/>
    <w:rsid w:val="00F01F1D"/>
    <w:rsid w:val="00F01F3F"/>
    <w:rsid w:val="00F02125"/>
    <w:rsid w:val="00F029E9"/>
    <w:rsid w:val="00F02F37"/>
    <w:rsid w:val="00F02FE3"/>
    <w:rsid w:val="00F03320"/>
    <w:rsid w:val="00F03327"/>
    <w:rsid w:val="00F0333B"/>
    <w:rsid w:val="00F0356B"/>
    <w:rsid w:val="00F038ED"/>
    <w:rsid w:val="00F04203"/>
    <w:rsid w:val="00F05064"/>
    <w:rsid w:val="00F05BBE"/>
    <w:rsid w:val="00F0652D"/>
    <w:rsid w:val="00F06712"/>
    <w:rsid w:val="00F06766"/>
    <w:rsid w:val="00F07605"/>
    <w:rsid w:val="00F07C47"/>
    <w:rsid w:val="00F07DB8"/>
    <w:rsid w:val="00F07F0C"/>
    <w:rsid w:val="00F10A3E"/>
    <w:rsid w:val="00F11876"/>
    <w:rsid w:val="00F11B5D"/>
    <w:rsid w:val="00F12BF0"/>
    <w:rsid w:val="00F12D47"/>
    <w:rsid w:val="00F12F59"/>
    <w:rsid w:val="00F13976"/>
    <w:rsid w:val="00F13C6A"/>
    <w:rsid w:val="00F13CFF"/>
    <w:rsid w:val="00F14AEE"/>
    <w:rsid w:val="00F1518A"/>
    <w:rsid w:val="00F15D37"/>
    <w:rsid w:val="00F16CB9"/>
    <w:rsid w:val="00F1734C"/>
    <w:rsid w:val="00F174E6"/>
    <w:rsid w:val="00F1799F"/>
    <w:rsid w:val="00F17F02"/>
    <w:rsid w:val="00F20114"/>
    <w:rsid w:val="00F2082B"/>
    <w:rsid w:val="00F21063"/>
    <w:rsid w:val="00F210CE"/>
    <w:rsid w:val="00F21643"/>
    <w:rsid w:val="00F21CA4"/>
    <w:rsid w:val="00F21FD3"/>
    <w:rsid w:val="00F2211E"/>
    <w:rsid w:val="00F22AB1"/>
    <w:rsid w:val="00F23480"/>
    <w:rsid w:val="00F23F20"/>
    <w:rsid w:val="00F24D38"/>
    <w:rsid w:val="00F2505E"/>
    <w:rsid w:val="00F25665"/>
    <w:rsid w:val="00F262E6"/>
    <w:rsid w:val="00F30106"/>
    <w:rsid w:val="00F301D7"/>
    <w:rsid w:val="00F30336"/>
    <w:rsid w:val="00F303E9"/>
    <w:rsid w:val="00F318B8"/>
    <w:rsid w:val="00F321F8"/>
    <w:rsid w:val="00F3240E"/>
    <w:rsid w:val="00F32B68"/>
    <w:rsid w:val="00F332D8"/>
    <w:rsid w:val="00F334F5"/>
    <w:rsid w:val="00F34233"/>
    <w:rsid w:val="00F355D9"/>
    <w:rsid w:val="00F3635B"/>
    <w:rsid w:val="00F3669B"/>
    <w:rsid w:val="00F36716"/>
    <w:rsid w:val="00F3674B"/>
    <w:rsid w:val="00F36E59"/>
    <w:rsid w:val="00F37C39"/>
    <w:rsid w:val="00F4027D"/>
    <w:rsid w:val="00F4061F"/>
    <w:rsid w:val="00F413D9"/>
    <w:rsid w:val="00F43DCE"/>
    <w:rsid w:val="00F4475A"/>
    <w:rsid w:val="00F448B2"/>
    <w:rsid w:val="00F44925"/>
    <w:rsid w:val="00F4502C"/>
    <w:rsid w:val="00F458D1"/>
    <w:rsid w:val="00F458FA"/>
    <w:rsid w:val="00F45EAC"/>
    <w:rsid w:val="00F4626D"/>
    <w:rsid w:val="00F46A37"/>
    <w:rsid w:val="00F473AB"/>
    <w:rsid w:val="00F47829"/>
    <w:rsid w:val="00F47A55"/>
    <w:rsid w:val="00F5033B"/>
    <w:rsid w:val="00F5111F"/>
    <w:rsid w:val="00F52379"/>
    <w:rsid w:val="00F52624"/>
    <w:rsid w:val="00F52A84"/>
    <w:rsid w:val="00F52B69"/>
    <w:rsid w:val="00F52EC7"/>
    <w:rsid w:val="00F53CEB"/>
    <w:rsid w:val="00F54137"/>
    <w:rsid w:val="00F54C86"/>
    <w:rsid w:val="00F5522C"/>
    <w:rsid w:val="00F576C2"/>
    <w:rsid w:val="00F57DBA"/>
    <w:rsid w:val="00F57F05"/>
    <w:rsid w:val="00F60132"/>
    <w:rsid w:val="00F60514"/>
    <w:rsid w:val="00F60519"/>
    <w:rsid w:val="00F61155"/>
    <w:rsid w:val="00F615A4"/>
    <w:rsid w:val="00F621A0"/>
    <w:rsid w:val="00F62C1B"/>
    <w:rsid w:val="00F6309C"/>
    <w:rsid w:val="00F63351"/>
    <w:rsid w:val="00F63891"/>
    <w:rsid w:val="00F63B53"/>
    <w:rsid w:val="00F63D48"/>
    <w:rsid w:val="00F65EDD"/>
    <w:rsid w:val="00F65F10"/>
    <w:rsid w:val="00F6607D"/>
    <w:rsid w:val="00F66804"/>
    <w:rsid w:val="00F67317"/>
    <w:rsid w:val="00F70423"/>
    <w:rsid w:val="00F706A0"/>
    <w:rsid w:val="00F71373"/>
    <w:rsid w:val="00F71A8C"/>
    <w:rsid w:val="00F71DBA"/>
    <w:rsid w:val="00F72AC5"/>
    <w:rsid w:val="00F72D76"/>
    <w:rsid w:val="00F72E32"/>
    <w:rsid w:val="00F73B66"/>
    <w:rsid w:val="00F74508"/>
    <w:rsid w:val="00F75282"/>
    <w:rsid w:val="00F75482"/>
    <w:rsid w:val="00F757F8"/>
    <w:rsid w:val="00F75F4A"/>
    <w:rsid w:val="00F76860"/>
    <w:rsid w:val="00F77FF1"/>
    <w:rsid w:val="00F80128"/>
    <w:rsid w:val="00F80313"/>
    <w:rsid w:val="00F80550"/>
    <w:rsid w:val="00F81368"/>
    <w:rsid w:val="00F81937"/>
    <w:rsid w:val="00F81B2B"/>
    <w:rsid w:val="00F81CC8"/>
    <w:rsid w:val="00F81D86"/>
    <w:rsid w:val="00F828E8"/>
    <w:rsid w:val="00F82B33"/>
    <w:rsid w:val="00F82C50"/>
    <w:rsid w:val="00F8362E"/>
    <w:rsid w:val="00F837A8"/>
    <w:rsid w:val="00F8399F"/>
    <w:rsid w:val="00F85765"/>
    <w:rsid w:val="00F86985"/>
    <w:rsid w:val="00F8700E"/>
    <w:rsid w:val="00F87011"/>
    <w:rsid w:val="00F87C4A"/>
    <w:rsid w:val="00F90241"/>
    <w:rsid w:val="00F90C73"/>
    <w:rsid w:val="00F91CA7"/>
    <w:rsid w:val="00F91DFD"/>
    <w:rsid w:val="00F9205B"/>
    <w:rsid w:val="00F920C3"/>
    <w:rsid w:val="00F92658"/>
    <w:rsid w:val="00F92ADF"/>
    <w:rsid w:val="00F92B2E"/>
    <w:rsid w:val="00F9355F"/>
    <w:rsid w:val="00F93666"/>
    <w:rsid w:val="00F93E32"/>
    <w:rsid w:val="00F940F8"/>
    <w:rsid w:val="00F9457D"/>
    <w:rsid w:val="00F94B96"/>
    <w:rsid w:val="00F95104"/>
    <w:rsid w:val="00F95A4D"/>
    <w:rsid w:val="00F95C7A"/>
    <w:rsid w:val="00F975B7"/>
    <w:rsid w:val="00FA0547"/>
    <w:rsid w:val="00FA1465"/>
    <w:rsid w:val="00FA241E"/>
    <w:rsid w:val="00FA24EA"/>
    <w:rsid w:val="00FA2605"/>
    <w:rsid w:val="00FA2A0C"/>
    <w:rsid w:val="00FA3223"/>
    <w:rsid w:val="00FA3F7C"/>
    <w:rsid w:val="00FA4389"/>
    <w:rsid w:val="00FA43A6"/>
    <w:rsid w:val="00FA480A"/>
    <w:rsid w:val="00FA493B"/>
    <w:rsid w:val="00FA4AE9"/>
    <w:rsid w:val="00FA5639"/>
    <w:rsid w:val="00FA5DD3"/>
    <w:rsid w:val="00FA6BCC"/>
    <w:rsid w:val="00FA6BD5"/>
    <w:rsid w:val="00FA6EB3"/>
    <w:rsid w:val="00FA7804"/>
    <w:rsid w:val="00FA7D10"/>
    <w:rsid w:val="00FA7EA8"/>
    <w:rsid w:val="00FA7EF8"/>
    <w:rsid w:val="00FB0411"/>
    <w:rsid w:val="00FB0536"/>
    <w:rsid w:val="00FB0C4E"/>
    <w:rsid w:val="00FB11AC"/>
    <w:rsid w:val="00FB15C6"/>
    <w:rsid w:val="00FB30FF"/>
    <w:rsid w:val="00FB41A5"/>
    <w:rsid w:val="00FB4394"/>
    <w:rsid w:val="00FB46DD"/>
    <w:rsid w:val="00FB4C5A"/>
    <w:rsid w:val="00FB590F"/>
    <w:rsid w:val="00FB6A52"/>
    <w:rsid w:val="00FB7ACF"/>
    <w:rsid w:val="00FC021B"/>
    <w:rsid w:val="00FC08EC"/>
    <w:rsid w:val="00FC1993"/>
    <w:rsid w:val="00FC4C18"/>
    <w:rsid w:val="00FC4DAB"/>
    <w:rsid w:val="00FC6A99"/>
    <w:rsid w:val="00FC6AF1"/>
    <w:rsid w:val="00FC790B"/>
    <w:rsid w:val="00FC7E44"/>
    <w:rsid w:val="00FC7E50"/>
    <w:rsid w:val="00FD02EA"/>
    <w:rsid w:val="00FD083F"/>
    <w:rsid w:val="00FD0B4C"/>
    <w:rsid w:val="00FD0CA5"/>
    <w:rsid w:val="00FD0FC2"/>
    <w:rsid w:val="00FD1CE2"/>
    <w:rsid w:val="00FD2083"/>
    <w:rsid w:val="00FD24A6"/>
    <w:rsid w:val="00FD2764"/>
    <w:rsid w:val="00FD27BE"/>
    <w:rsid w:val="00FD32F0"/>
    <w:rsid w:val="00FD50A9"/>
    <w:rsid w:val="00FD554D"/>
    <w:rsid w:val="00FD55A8"/>
    <w:rsid w:val="00FD60B4"/>
    <w:rsid w:val="00FD6400"/>
    <w:rsid w:val="00FD71A2"/>
    <w:rsid w:val="00FE0482"/>
    <w:rsid w:val="00FE094B"/>
    <w:rsid w:val="00FE0C89"/>
    <w:rsid w:val="00FE1B4C"/>
    <w:rsid w:val="00FE220C"/>
    <w:rsid w:val="00FE246C"/>
    <w:rsid w:val="00FE2576"/>
    <w:rsid w:val="00FE2B74"/>
    <w:rsid w:val="00FE3840"/>
    <w:rsid w:val="00FE398E"/>
    <w:rsid w:val="00FE46B5"/>
    <w:rsid w:val="00FE4DDE"/>
    <w:rsid w:val="00FE5625"/>
    <w:rsid w:val="00FE6C01"/>
    <w:rsid w:val="00FF0BBF"/>
    <w:rsid w:val="00FF185D"/>
    <w:rsid w:val="00FF1A54"/>
    <w:rsid w:val="00FF1D69"/>
    <w:rsid w:val="00FF4549"/>
    <w:rsid w:val="00FF476F"/>
    <w:rsid w:val="00FF4F0A"/>
    <w:rsid w:val="00FF521D"/>
    <w:rsid w:val="00FF54E0"/>
    <w:rsid w:val="00FF5757"/>
    <w:rsid w:val="00FF5C4F"/>
    <w:rsid w:val="00FF6148"/>
    <w:rsid w:val="00FF6DCC"/>
    <w:rsid w:val="00FF6E30"/>
    <w:rsid w:val="00FF6E81"/>
    <w:rsid w:val="0121FCB4"/>
    <w:rsid w:val="012B5F02"/>
    <w:rsid w:val="01350563"/>
    <w:rsid w:val="015F89F0"/>
    <w:rsid w:val="017452EF"/>
    <w:rsid w:val="01A8298E"/>
    <w:rsid w:val="01B346E8"/>
    <w:rsid w:val="02013030"/>
    <w:rsid w:val="023F8C9E"/>
    <w:rsid w:val="027295FF"/>
    <w:rsid w:val="029E639E"/>
    <w:rsid w:val="02ABF96A"/>
    <w:rsid w:val="02E0CEC1"/>
    <w:rsid w:val="0333F108"/>
    <w:rsid w:val="034742BE"/>
    <w:rsid w:val="038E1564"/>
    <w:rsid w:val="03F2E8E6"/>
    <w:rsid w:val="04199942"/>
    <w:rsid w:val="046F22F9"/>
    <w:rsid w:val="04945484"/>
    <w:rsid w:val="04B52120"/>
    <w:rsid w:val="04B9F0CD"/>
    <w:rsid w:val="04CEBC99"/>
    <w:rsid w:val="04F21C45"/>
    <w:rsid w:val="04FCD140"/>
    <w:rsid w:val="052CF163"/>
    <w:rsid w:val="0576A528"/>
    <w:rsid w:val="05A1BE23"/>
    <w:rsid w:val="05A5D803"/>
    <w:rsid w:val="0608258B"/>
    <w:rsid w:val="0611682E"/>
    <w:rsid w:val="0619FDC1"/>
    <w:rsid w:val="06382574"/>
    <w:rsid w:val="06418FD4"/>
    <w:rsid w:val="0654E900"/>
    <w:rsid w:val="06630514"/>
    <w:rsid w:val="067DEB44"/>
    <w:rsid w:val="0682C3C0"/>
    <w:rsid w:val="06CF97D4"/>
    <w:rsid w:val="0717B14D"/>
    <w:rsid w:val="074866E1"/>
    <w:rsid w:val="077F3564"/>
    <w:rsid w:val="07CAF3D0"/>
    <w:rsid w:val="07F1F341"/>
    <w:rsid w:val="080B7B86"/>
    <w:rsid w:val="089E4788"/>
    <w:rsid w:val="08AF2BD0"/>
    <w:rsid w:val="08C34E14"/>
    <w:rsid w:val="08D1841C"/>
    <w:rsid w:val="090A6425"/>
    <w:rsid w:val="099B970F"/>
    <w:rsid w:val="09A2FE00"/>
    <w:rsid w:val="09B03807"/>
    <w:rsid w:val="09E39061"/>
    <w:rsid w:val="09E7C213"/>
    <w:rsid w:val="0A494174"/>
    <w:rsid w:val="0AC2559B"/>
    <w:rsid w:val="0ADCAE8B"/>
    <w:rsid w:val="0B206338"/>
    <w:rsid w:val="0B4A4627"/>
    <w:rsid w:val="0B658A71"/>
    <w:rsid w:val="0B723A1C"/>
    <w:rsid w:val="0B829ADC"/>
    <w:rsid w:val="0B967087"/>
    <w:rsid w:val="0B96DDD5"/>
    <w:rsid w:val="0BCAC7EC"/>
    <w:rsid w:val="0C0F5196"/>
    <w:rsid w:val="0C221520"/>
    <w:rsid w:val="0C2727CA"/>
    <w:rsid w:val="0C416338"/>
    <w:rsid w:val="0CB1BA4B"/>
    <w:rsid w:val="0D3B98B2"/>
    <w:rsid w:val="0D672C43"/>
    <w:rsid w:val="0DA8B81D"/>
    <w:rsid w:val="0DB624F9"/>
    <w:rsid w:val="0DEFEA12"/>
    <w:rsid w:val="0DFAED40"/>
    <w:rsid w:val="0E3C165F"/>
    <w:rsid w:val="0E45DA31"/>
    <w:rsid w:val="0F1472B6"/>
    <w:rsid w:val="0F49BC4A"/>
    <w:rsid w:val="0F9B003A"/>
    <w:rsid w:val="0FAD2181"/>
    <w:rsid w:val="0FB6CBC9"/>
    <w:rsid w:val="0FF4CE47"/>
    <w:rsid w:val="10122B70"/>
    <w:rsid w:val="101EFBBC"/>
    <w:rsid w:val="10221864"/>
    <w:rsid w:val="10572C4D"/>
    <w:rsid w:val="106334F9"/>
    <w:rsid w:val="1074BB33"/>
    <w:rsid w:val="1096A8CF"/>
    <w:rsid w:val="10BC0868"/>
    <w:rsid w:val="111248D7"/>
    <w:rsid w:val="113E9808"/>
    <w:rsid w:val="114B87A9"/>
    <w:rsid w:val="118FB382"/>
    <w:rsid w:val="11A405EA"/>
    <w:rsid w:val="11BB3CF8"/>
    <w:rsid w:val="11CC19F6"/>
    <w:rsid w:val="11CD55BB"/>
    <w:rsid w:val="11D50E42"/>
    <w:rsid w:val="11DA759F"/>
    <w:rsid w:val="11F4F57E"/>
    <w:rsid w:val="11FFECBF"/>
    <w:rsid w:val="1222BD2A"/>
    <w:rsid w:val="122D2861"/>
    <w:rsid w:val="123DA9AF"/>
    <w:rsid w:val="1252C328"/>
    <w:rsid w:val="12603363"/>
    <w:rsid w:val="128F9864"/>
    <w:rsid w:val="12CABDB6"/>
    <w:rsid w:val="131C0DDB"/>
    <w:rsid w:val="139471A5"/>
    <w:rsid w:val="13988298"/>
    <w:rsid w:val="13D37DFD"/>
    <w:rsid w:val="140AAAA8"/>
    <w:rsid w:val="14298DF2"/>
    <w:rsid w:val="1485851F"/>
    <w:rsid w:val="148ADC7B"/>
    <w:rsid w:val="149F6AD3"/>
    <w:rsid w:val="14AF8843"/>
    <w:rsid w:val="14E9DC95"/>
    <w:rsid w:val="1534B125"/>
    <w:rsid w:val="15623C8D"/>
    <w:rsid w:val="15B0C74E"/>
    <w:rsid w:val="15B236EB"/>
    <w:rsid w:val="15B548AC"/>
    <w:rsid w:val="15B81C87"/>
    <w:rsid w:val="15D414A6"/>
    <w:rsid w:val="15DE1338"/>
    <w:rsid w:val="1618CBD1"/>
    <w:rsid w:val="162A4C79"/>
    <w:rsid w:val="16306EE7"/>
    <w:rsid w:val="163086F3"/>
    <w:rsid w:val="165CAF5E"/>
    <w:rsid w:val="17092D80"/>
    <w:rsid w:val="171253FB"/>
    <w:rsid w:val="176BF30E"/>
    <w:rsid w:val="1770666C"/>
    <w:rsid w:val="1773C917"/>
    <w:rsid w:val="17751A3D"/>
    <w:rsid w:val="178ACB26"/>
    <w:rsid w:val="1794932B"/>
    <w:rsid w:val="17BC86FD"/>
    <w:rsid w:val="17BD6524"/>
    <w:rsid w:val="17F5FC10"/>
    <w:rsid w:val="180854B4"/>
    <w:rsid w:val="182AE05D"/>
    <w:rsid w:val="182D5B37"/>
    <w:rsid w:val="1881FE07"/>
    <w:rsid w:val="188E9145"/>
    <w:rsid w:val="18D4592F"/>
    <w:rsid w:val="190F95C2"/>
    <w:rsid w:val="19781B39"/>
    <w:rsid w:val="19924125"/>
    <w:rsid w:val="19983A4B"/>
    <w:rsid w:val="19F7DA97"/>
    <w:rsid w:val="1A14A22B"/>
    <w:rsid w:val="1A19F27B"/>
    <w:rsid w:val="1A6BBC5B"/>
    <w:rsid w:val="1A6CCC07"/>
    <w:rsid w:val="1A78D711"/>
    <w:rsid w:val="1AB00397"/>
    <w:rsid w:val="1AB8B618"/>
    <w:rsid w:val="1AD4CF60"/>
    <w:rsid w:val="1ADBA28A"/>
    <w:rsid w:val="1AE4E5BF"/>
    <w:rsid w:val="1AFC6352"/>
    <w:rsid w:val="1B15252C"/>
    <w:rsid w:val="1B1858EB"/>
    <w:rsid w:val="1B7A352A"/>
    <w:rsid w:val="1B8E7239"/>
    <w:rsid w:val="1BDAA100"/>
    <w:rsid w:val="1BDC20CF"/>
    <w:rsid w:val="1BE3A86F"/>
    <w:rsid w:val="1C338FA2"/>
    <w:rsid w:val="1C48D6A3"/>
    <w:rsid w:val="1C4CBF09"/>
    <w:rsid w:val="1C644D34"/>
    <w:rsid w:val="1C698A53"/>
    <w:rsid w:val="1CC0F7DD"/>
    <w:rsid w:val="1CD73D28"/>
    <w:rsid w:val="1CF1AB36"/>
    <w:rsid w:val="1D1040E9"/>
    <w:rsid w:val="1D2B811B"/>
    <w:rsid w:val="1D3CB8A5"/>
    <w:rsid w:val="1D5EDD42"/>
    <w:rsid w:val="1D6BBB89"/>
    <w:rsid w:val="1D732A30"/>
    <w:rsid w:val="1DABC571"/>
    <w:rsid w:val="1DC74C24"/>
    <w:rsid w:val="1DEC95D8"/>
    <w:rsid w:val="1E084C1E"/>
    <w:rsid w:val="1E2FAAE5"/>
    <w:rsid w:val="1E61D491"/>
    <w:rsid w:val="1E6B76D9"/>
    <w:rsid w:val="1E8F983E"/>
    <w:rsid w:val="1EA043B3"/>
    <w:rsid w:val="1EBD7D4B"/>
    <w:rsid w:val="1EC4073C"/>
    <w:rsid w:val="1EE677B9"/>
    <w:rsid w:val="1EF56025"/>
    <w:rsid w:val="1F0AF441"/>
    <w:rsid w:val="1F1405AE"/>
    <w:rsid w:val="1F45E049"/>
    <w:rsid w:val="1F75E545"/>
    <w:rsid w:val="1F795E5E"/>
    <w:rsid w:val="200C018E"/>
    <w:rsid w:val="20345526"/>
    <w:rsid w:val="2036089B"/>
    <w:rsid w:val="20587684"/>
    <w:rsid w:val="20665BEA"/>
    <w:rsid w:val="20D00ECD"/>
    <w:rsid w:val="20DA8EB8"/>
    <w:rsid w:val="210500D2"/>
    <w:rsid w:val="21218A15"/>
    <w:rsid w:val="21504121"/>
    <w:rsid w:val="216751E8"/>
    <w:rsid w:val="217383AF"/>
    <w:rsid w:val="21AEB3F8"/>
    <w:rsid w:val="21B57756"/>
    <w:rsid w:val="21D3D8B9"/>
    <w:rsid w:val="21DC5058"/>
    <w:rsid w:val="21EE4BB4"/>
    <w:rsid w:val="21F435B7"/>
    <w:rsid w:val="21F6B429"/>
    <w:rsid w:val="220B189F"/>
    <w:rsid w:val="2211557E"/>
    <w:rsid w:val="222F63B0"/>
    <w:rsid w:val="224D7A14"/>
    <w:rsid w:val="2263C5A2"/>
    <w:rsid w:val="2292ED51"/>
    <w:rsid w:val="22E68F20"/>
    <w:rsid w:val="23144833"/>
    <w:rsid w:val="23422A77"/>
    <w:rsid w:val="237A9389"/>
    <w:rsid w:val="238B21E3"/>
    <w:rsid w:val="238C2C4E"/>
    <w:rsid w:val="238D82D1"/>
    <w:rsid w:val="23A05B59"/>
    <w:rsid w:val="23A7BF99"/>
    <w:rsid w:val="23BD6EA5"/>
    <w:rsid w:val="23F35A69"/>
    <w:rsid w:val="245599A8"/>
    <w:rsid w:val="24A1A6C5"/>
    <w:rsid w:val="24B05BEE"/>
    <w:rsid w:val="24C251ED"/>
    <w:rsid w:val="2503D7C9"/>
    <w:rsid w:val="2524C04D"/>
    <w:rsid w:val="25577056"/>
    <w:rsid w:val="258894ED"/>
    <w:rsid w:val="25AD4FDD"/>
    <w:rsid w:val="25E708E6"/>
    <w:rsid w:val="262BA22A"/>
    <w:rsid w:val="2645DEA4"/>
    <w:rsid w:val="2670EC66"/>
    <w:rsid w:val="26E8CC46"/>
    <w:rsid w:val="275C969D"/>
    <w:rsid w:val="27769D2B"/>
    <w:rsid w:val="279223C8"/>
    <w:rsid w:val="27FFB47C"/>
    <w:rsid w:val="281257A3"/>
    <w:rsid w:val="282FF37C"/>
    <w:rsid w:val="28353CDF"/>
    <w:rsid w:val="283BA11E"/>
    <w:rsid w:val="28452BF6"/>
    <w:rsid w:val="2869B242"/>
    <w:rsid w:val="2871DDA8"/>
    <w:rsid w:val="28962B78"/>
    <w:rsid w:val="289679C1"/>
    <w:rsid w:val="289B45DC"/>
    <w:rsid w:val="28DCA77F"/>
    <w:rsid w:val="28EB5959"/>
    <w:rsid w:val="2901E798"/>
    <w:rsid w:val="2937274B"/>
    <w:rsid w:val="29518154"/>
    <w:rsid w:val="2A0AEDCD"/>
    <w:rsid w:val="2A3DB6F1"/>
    <w:rsid w:val="2A7C2783"/>
    <w:rsid w:val="2AFA171D"/>
    <w:rsid w:val="2B449DCB"/>
    <w:rsid w:val="2B50E13F"/>
    <w:rsid w:val="2B69C2AC"/>
    <w:rsid w:val="2B81C20D"/>
    <w:rsid w:val="2BA4534F"/>
    <w:rsid w:val="2BECC663"/>
    <w:rsid w:val="2C89B1F8"/>
    <w:rsid w:val="2C97486E"/>
    <w:rsid w:val="2CB79491"/>
    <w:rsid w:val="2CDBF004"/>
    <w:rsid w:val="2D53711C"/>
    <w:rsid w:val="2DB3872D"/>
    <w:rsid w:val="2DE14C4F"/>
    <w:rsid w:val="2DE5A32E"/>
    <w:rsid w:val="2DED6E2E"/>
    <w:rsid w:val="2DFF7953"/>
    <w:rsid w:val="2E33BFA4"/>
    <w:rsid w:val="2E40EA81"/>
    <w:rsid w:val="2E7FB253"/>
    <w:rsid w:val="2EB19C48"/>
    <w:rsid w:val="2F43830C"/>
    <w:rsid w:val="2F45461E"/>
    <w:rsid w:val="2F61FFAF"/>
    <w:rsid w:val="2F8AE37B"/>
    <w:rsid w:val="2F916261"/>
    <w:rsid w:val="2FFBA51D"/>
    <w:rsid w:val="3013C315"/>
    <w:rsid w:val="301611F1"/>
    <w:rsid w:val="30BEA6ED"/>
    <w:rsid w:val="30D93C5C"/>
    <w:rsid w:val="30E36A93"/>
    <w:rsid w:val="3128A4C4"/>
    <w:rsid w:val="31500110"/>
    <w:rsid w:val="316804D7"/>
    <w:rsid w:val="3171D33A"/>
    <w:rsid w:val="31C6BF5E"/>
    <w:rsid w:val="32CFDF03"/>
    <w:rsid w:val="32E76E60"/>
    <w:rsid w:val="32EF2439"/>
    <w:rsid w:val="330B984F"/>
    <w:rsid w:val="33359C82"/>
    <w:rsid w:val="336D0A86"/>
    <w:rsid w:val="33B9A534"/>
    <w:rsid w:val="33E311EB"/>
    <w:rsid w:val="33F96815"/>
    <w:rsid w:val="34012481"/>
    <w:rsid w:val="3437BB42"/>
    <w:rsid w:val="345F408C"/>
    <w:rsid w:val="34665937"/>
    <w:rsid w:val="346B28CA"/>
    <w:rsid w:val="34A08AE8"/>
    <w:rsid w:val="350FE341"/>
    <w:rsid w:val="3520D83A"/>
    <w:rsid w:val="3564A818"/>
    <w:rsid w:val="358D7BD9"/>
    <w:rsid w:val="35915D94"/>
    <w:rsid w:val="3598D8B8"/>
    <w:rsid w:val="35BE7301"/>
    <w:rsid w:val="35C94AEF"/>
    <w:rsid w:val="35DBB553"/>
    <w:rsid w:val="35DE5928"/>
    <w:rsid w:val="35F81B0E"/>
    <w:rsid w:val="35FC579E"/>
    <w:rsid w:val="36402219"/>
    <w:rsid w:val="3657D0B8"/>
    <w:rsid w:val="36978087"/>
    <w:rsid w:val="36BBD351"/>
    <w:rsid w:val="36CD0E3A"/>
    <w:rsid w:val="36D1E723"/>
    <w:rsid w:val="370A097B"/>
    <w:rsid w:val="37205F75"/>
    <w:rsid w:val="372F9FF5"/>
    <w:rsid w:val="374D0847"/>
    <w:rsid w:val="37592514"/>
    <w:rsid w:val="37665316"/>
    <w:rsid w:val="376C3903"/>
    <w:rsid w:val="37C3723E"/>
    <w:rsid w:val="37F5D744"/>
    <w:rsid w:val="3817A2E9"/>
    <w:rsid w:val="3827DB7E"/>
    <w:rsid w:val="388E11AE"/>
    <w:rsid w:val="38BC258E"/>
    <w:rsid w:val="3942330A"/>
    <w:rsid w:val="3960A9D1"/>
    <w:rsid w:val="39612380"/>
    <w:rsid w:val="39A5D19B"/>
    <w:rsid w:val="39D892E2"/>
    <w:rsid w:val="39DCA4F0"/>
    <w:rsid w:val="39E051A1"/>
    <w:rsid w:val="39E79474"/>
    <w:rsid w:val="3A690F4E"/>
    <w:rsid w:val="3A6C589F"/>
    <w:rsid w:val="3AB75F82"/>
    <w:rsid w:val="3AE41A59"/>
    <w:rsid w:val="3B1DDED1"/>
    <w:rsid w:val="3B1F4526"/>
    <w:rsid w:val="3B3C5FD0"/>
    <w:rsid w:val="3B44DD63"/>
    <w:rsid w:val="3B7DAE2A"/>
    <w:rsid w:val="3B7F4419"/>
    <w:rsid w:val="3B98FA67"/>
    <w:rsid w:val="3B9EAA76"/>
    <w:rsid w:val="3BAB4C15"/>
    <w:rsid w:val="3BB5E0B0"/>
    <w:rsid w:val="3BC430CE"/>
    <w:rsid w:val="3C1AC298"/>
    <w:rsid w:val="3C59241B"/>
    <w:rsid w:val="3C60F8CF"/>
    <w:rsid w:val="3C7D8F3A"/>
    <w:rsid w:val="3C98275F"/>
    <w:rsid w:val="3CCC1B31"/>
    <w:rsid w:val="3CD8030B"/>
    <w:rsid w:val="3CEB7086"/>
    <w:rsid w:val="3D568F2F"/>
    <w:rsid w:val="3DB3ADD5"/>
    <w:rsid w:val="3DCCF11E"/>
    <w:rsid w:val="3DDAD11F"/>
    <w:rsid w:val="3DE1CD78"/>
    <w:rsid w:val="3DEF7E78"/>
    <w:rsid w:val="3DF04021"/>
    <w:rsid w:val="3E05A0C5"/>
    <w:rsid w:val="3E0F5F84"/>
    <w:rsid w:val="3E200A60"/>
    <w:rsid w:val="3E201A39"/>
    <w:rsid w:val="3EC18D84"/>
    <w:rsid w:val="3ED384F1"/>
    <w:rsid w:val="3ED85947"/>
    <w:rsid w:val="3F0C5C1E"/>
    <w:rsid w:val="3F2CB112"/>
    <w:rsid w:val="3F2F2F2E"/>
    <w:rsid w:val="3F84AE5F"/>
    <w:rsid w:val="3FB80CE0"/>
    <w:rsid w:val="3FD167B4"/>
    <w:rsid w:val="3FF5F494"/>
    <w:rsid w:val="40905777"/>
    <w:rsid w:val="40D5F2B8"/>
    <w:rsid w:val="41208B41"/>
    <w:rsid w:val="4120E301"/>
    <w:rsid w:val="418FE70F"/>
    <w:rsid w:val="419F7DC1"/>
    <w:rsid w:val="41A5CF83"/>
    <w:rsid w:val="41CD75FC"/>
    <w:rsid w:val="41DD6205"/>
    <w:rsid w:val="41E9F0BA"/>
    <w:rsid w:val="424F4F2F"/>
    <w:rsid w:val="426CAAD3"/>
    <w:rsid w:val="42755D8B"/>
    <w:rsid w:val="4291E349"/>
    <w:rsid w:val="43138CCD"/>
    <w:rsid w:val="43204020"/>
    <w:rsid w:val="43600650"/>
    <w:rsid w:val="4376CB76"/>
    <w:rsid w:val="43BF27C4"/>
    <w:rsid w:val="43C2126C"/>
    <w:rsid w:val="43F4752D"/>
    <w:rsid w:val="43F95791"/>
    <w:rsid w:val="4405A834"/>
    <w:rsid w:val="440D2E45"/>
    <w:rsid w:val="440F262C"/>
    <w:rsid w:val="4440FE93"/>
    <w:rsid w:val="44423C67"/>
    <w:rsid w:val="44748F5B"/>
    <w:rsid w:val="448F702A"/>
    <w:rsid w:val="44A7DC55"/>
    <w:rsid w:val="44DFF7B6"/>
    <w:rsid w:val="4519A4D1"/>
    <w:rsid w:val="457A53A6"/>
    <w:rsid w:val="458F86C6"/>
    <w:rsid w:val="45A6D4DC"/>
    <w:rsid w:val="45B4DA8F"/>
    <w:rsid w:val="45BE391C"/>
    <w:rsid w:val="45C48A41"/>
    <w:rsid w:val="45ECC7CF"/>
    <w:rsid w:val="460B7A5C"/>
    <w:rsid w:val="46425606"/>
    <w:rsid w:val="466DF0AA"/>
    <w:rsid w:val="467B0C5F"/>
    <w:rsid w:val="467E9FB7"/>
    <w:rsid w:val="46AA8B3D"/>
    <w:rsid w:val="47019371"/>
    <w:rsid w:val="4709A4F5"/>
    <w:rsid w:val="470CE799"/>
    <w:rsid w:val="4710B055"/>
    <w:rsid w:val="473E8614"/>
    <w:rsid w:val="474B8BA9"/>
    <w:rsid w:val="476F42A3"/>
    <w:rsid w:val="478717E4"/>
    <w:rsid w:val="47B5C5D7"/>
    <w:rsid w:val="486806DA"/>
    <w:rsid w:val="48BBE5B6"/>
    <w:rsid w:val="48C5B72B"/>
    <w:rsid w:val="48EA259B"/>
    <w:rsid w:val="4959DC5A"/>
    <w:rsid w:val="4981C8C3"/>
    <w:rsid w:val="49BD2112"/>
    <w:rsid w:val="49E33E14"/>
    <w:rsid w:val="49FB00CE"/>
    <w:rsid w:val="4A2B152D"/>
    <w:rsid w:val="4A317E5C"/>
    <w:rsid w:val="4A97A5A9"/>
    <w:rsid w:val="4AA3B73A"/>
    <w:rsid w:val="4AD83E31"/>
    <w:rsid w:val="4AF2822D"/>
    <w:rsid w:val="4B2245C4"/>
    <w:rsid w:val="4B350D5D"/>
    <w:rsid w:val="4B3CEB5A"/>
    <w:rsid w:val="4B48B2AE"/>
    <w:rsid w:val="4B64E286"/>
    <w:rsid w:val="4B73BA3A"/>
    <w:rsid w:val="4B8C34A2"/>
    <w:rsid w:val="4B936EB6"/>
    <w:rsid w:val="4BD74220"/>
    <w:rsid w:val="4BFBCCC6"/>
    <w:rsid w:val="4C09A958"/>
    <w:rsid w:val="4C0AF3BB"/>
    <w:rsid w:val="4C1CF527"/>
    <w:rsid w:val="4C31ECEB"/>
    <w:rsid w:val="4C582D8B"/>
    <w:rsid w:val="4CB9FBF1"/>
    <w:rsid w:val="4CC0DF03"/>
    <w:rsid w:val="4CDC4187"/>
    <w:rsid w:val="4D2C699E"/>
    <w:rsid w:val="4D6B038B"/>
    <w:rsid w:val="4DD84901"/>
    <w:rsid w:val="4E07A195"/>
    <w:rsid w:val="4E172377"/>
    <w:rsid w:val="4E482D9A"/>
    <w:rsid w:val="4E58285D"/>
    <w:rsid w:val="4F220E9F"/>
    <w:rsid w:val="4F58CCEA"/>
    <w:rsid w:val="4F908938"/>
    <w:rsid w:val="4FD18908"/>
    <w:rsid w:val="500DDF02"/>
    <w:rsid w:val="501C6072"/>
    <w:rsid w:val="5024B3B7"/>
    <w:rsid w:val="50CE19E2"/>
    <w:rsid w:val="50D8AAF9"/>
    <w:rsid w:val="50EC5CF7"/>
    <w:rsid w:val="50ED1AA9"/>
    <w:rsid w:val="50FA13EC"/>
    <w:rsid w:val="51317255"/>
    <w:rsid w:val="513D4309"/>
    <w:rsid w:val="51444BE3"/>
    <w:rsid w:val="514C1FCF"/>
    <w:rsid w:val="5158CED7"/>
    <w:rsid w:val="515C094A"/>
    <w:rsid w:val="515D3D4F"/>
    <w:rsid w:val="51B52FC3"/>
    <w:rsid w:val="51C7D284"/>
    <w:rsid w:val="51F0AF83"/>
    <w:rsid w:val="51FA4033"/>
    <w:rsid w:val="52405073"/>
    <w:rsid w:val="524B24F5"/>
    <w:rsid w:val="52641735"/>
    <w:rsid w:val="526EFA31"/>
    <w:rsid w:val="528FC6B8"/>
    <w:rsid w:val="530DDA75"/>
    <w:rsid w:val="532808C4"/>
    <w:rsid w:val="532BE067"/>
    <w:rsid w:val="536BD7B1"/>
    <w:rsid w:val="53AFA07F"/>
    <w:rsid w:val="53B197E0"/>
    <w:rsid w:val="53B69697"/>
    <w:rsid w:val="53C0B7E7"/>
    <w:rsid w:val="53CF67FA"/>
    <w:rsid w:val="543F64EB"/>
    <w:rsid w:val="54428732"/>
    <w:rsid w:val="545A7C9F"/>
    <w:rsid w:val="5468F48E"/>
    <w:rsid w:val="54824BCF"/>
    <w:rsid w:val="54CCA378"/>
    <w:rsid w:val="54DA9B3F"/>
    <w:rsid w:val="5508F194"/>
    <w:rsid w:val="55091573"/>
    <w:rsid w:val="55244D11"/>
    <w:rsid w:val="554DD33F"/>
    <w:rsid w:val="555DA551"/>
    <w:rsid w:val="557CA0E4"/>
    <w:rsid w:val="55B28A54"/>
    <w:rsid w:val="55C98C64"/>
    <w:rsid w:val="55D42A71"/>
    <w:rsid w:val="55ED7EC9"/>
    <w:rsid w:val="5616248A"/>
    <w:rsid w:val="5624F55A"/>
    <w:rsid w:val="56370205"/>
    <w:rsid w:val="566FC8B0"/>
    <w:rsid w:val="5681ED28"/>
    <w:rsid w:val="5682D291"/>
    <w:rsid w:val="56F42C93"/>
    <w:rsid w:val="56F6B9AF"/>
    <w:rsid w:val="573026F7"/>
    <w:rsid w:val="575E15B1"/>
    <w:rsid w:val="57CCCDA7"/>
    <w:rsid w:val="57D36BC9"/>
    <w:rsid w:val="57E4DF93"/>
    <w:rsid w:val="58023743"/>
    <w:rsid w:val="58064270"/>
    <w:rsid w:val="581659BC"/>
    <w:rsid w:val="58318DEA"/>
    <w:rsid w:val="5842636B"/>
    <w:rsid w:val="5854E977"/>
    <w:rsid w:val="5857C388"/>
    <w:rsid w:val="5859E3AA"/>
    <w:rsid w:val="587CCFF7"/>
    <w:rsid w:val="58C324A3"/>
    <w:rsid w:val="58FACDD1"/>
    <w:rsid w:val="5905E421"/>
    <w:rsid w:val="5930BD59"/>
    <w:rsid w:val="59488449"/>
    <w:rsid w:val="596FC963"/>
    <w:rsid w:val="59A23577"/>
    <w:rsid w:val="59C65856"/>
    <w:rsid w:val="59DAD833"/>
    <w:rsid w:val="59E7ABA6"/>
    <w:rsid w:val="59F3CEF6"/>
    <w:rsid w:val="5AE2D307"/>
    <w:rsid w:val="5B178C7D"/>
    <w:rsid w:val="5B38F312"/>
    <w:rsid w:val="5B440B4E"/>
    <w:rsid w:val="5B46259B"/>
    <w:rsid w:val="5B597537"/>
    <w:rsid w:val="5BC711CB"/>
    <w:rsid w:val="5C08A92A"/>
    <w:rsid w:val="5C47B30C"/>
    <w:rsid w:val="5C4BC3A9"/>
    <w:rsid w:val="5C5C0996"/>
    <w:rsid w:val="5C79162A"/>
    <w:rsid w:val="5CA335FF"/>
    <w:rsid w:val="5D351480"/>
    <w:rsid w:val="5D40E47E"/>
    <w:rsid w:val="5D40EF89"/>
    <w:rsid w:val="5D46767F"/>
    <w:rsid w:val="5D46DB2C"/>
    <w:rsid w:val="5D501C8E"/>
    <w:rsid w:val="5D7018EF"/>
    <w:rsid w:val="5DBF41A4"/>
    <w:rsid w:val="5DC71DE2"/>
    <w:rsid w:val="5DCE3FD1"/>
    <w:rsid w:val="5DF65AD2"/>
    <w:rsid w:val="5E0A59C5"/>
    <w:rsid w:val="5E0AA299"/>
    <w:rsid w:val="5E203BAA"/>
    <w:rsid w:val="5E303F60"/>
    <w:rsid w:val="5E85E6CF"/>
    <w:rsid w:val="5E8FD866"/>
    <w:rsid w:val="5E92AFE7"/>
    <w:rsid w:val="5EA86F43"/>
    <w:rsid w:val="5EE5F8BB"/>
    <w:rsid w:val="5F086F20"/>
    <w:rsid w:val="5FF8E323"/>
    <w:rsid w:val="6032AF1F"/>
    <w:rsid w:val="60933CD7"/>
    <w:rsid w:val="60AB85CD"/>
    <w:rsid w:val="610A3C4F"/>
    <w:rsid w:val="610A5692"/>
    <w:rsid w:val="61285E2C"/>
    <w:rsid w:val="614CAA52"/>
    <w:rsid w:val="6152758C"/>
    <w:rsid w:val="6176E6BF"/>
    <w:rsid w:val="61B69505"/>
    <w:rsid w:val="61D464A5"/>
    <w:rsid w:val="6239FF27"/>
    <w:rsid w:val="623B6FF2"/>
    <w:rsid w:val="625B6FA0"/>
    <w:rsid w:val="629A2416"/>
    <w:rsid w:val="62A5C522"/>
    <w:rsid w:val="62B9EF2D"/>
    <w:rsid w:val="62D97812"/>
    <w:rsid w:val="62E57E68"/>
    <w:rsid w:val="62F4430B"/>
    <w:rsid w:val="6305659E"/>
    <w:rsid w:val="631354C1"/>
    <w:rsid w:val="63211996"/>
    <w:rsid w:val="63340BDC"/>
    <w:rsid w:val="63649BA5"/>
    <w:rsid w:val="637CA8B3"/>
    <w:rsid w:val="63989485"/>
    <w:rsid w:val="639E01C2"/>
    <w:rsid w:val="63A9D062"/>
    <w:rsid w:val="63BA9A87"/>
    <w:rsid w:val="63C97A9F"/>
    <w:rsid w:val="640D84B0"/>
    <w:rsid w:val="642006BF"/>
    <w:rsid w:val="64219847"/>
    <w:rsid w:val="64695340"/>
    <w:rsid w:val="64B38B8E"/>
    <w:rsid w:val="64C1292F"/>
    <w:rsid w:val="64FAE6FF"/>
    <w:rsid w:val="653A9D8E"/>
    <w:rsid w:val="6542BC49"/>
    <w:rsid w:val="6543680B"/>
    <w:rsid w:val="6588B445"/>
    <w:rsid w:val="6599644A"/>
    <w:rsid w:val="65D4A629"/>
    <w:rsid w:val="65E21318"/>
    <w:rsid w:val="6612257E"/>
    <w:rsid w:val="661404E9"/>
    <w:rsid w:val="661F9CBC"/>
    <w:rsid w:val="663ACA9E"/>
    <w:rsid w:val="664DF8E6"/>
    <w:rsid w:val="6671BE68"/>
    <w:rsid w:val="66D6A1EC"/>
    <w:rsid w:val="66E44E8B"/>
    <w:rsid w:val="66F6C6B9"/>
    <w:rsid w:val="673DB3D1"/>
    <w:rsid w:val="67672226"/>
    <w:rsid w:val="677A72B6"/>
    <w:rsid w:val="678E14BD"/>
    <w:rsid w:val="67B14E0C"/>
    <w:rsid w:val="67BA9235"/>
    <w:rsid w:val="68050E83"/>
    <w:rsid w:val="68062A5B"/>
    <w:rsid w:val="680B58EF"/>
    <w:rsid w:val="686A281C"/>
    <w:rsid w:val="6887F83B"/>
    <w:rsid w:val="68AD6F61"/>
    <w:rsid w:val="68C2FA90"/>
    <w:rsid w:val="6940C7A5"/>
    <w:rsid w:val="69EACB66"/>
    <w:rsid w:val="6A29137D"/>
    <w:rsid w:val="6A2D0965"/>
    <w:rsid w:val="6A3AEF81"/>
    <w:rsid w:val="6A6F006E"/>
    <w:rsid w:val="6A84E807"/>
    <w:rsid w:val="6A85FA1C"/>
    <w:rsid w:val="6AEA58C4"/>
    <w:rsid w:val="6AF0F0D3"/>
    <w:rsid w:val="6B03029C"/>
    <w:rsid w:val="6B0B91D4"/>
    <w:rsid w:val="6B180FFA"/>
    <w:rsid w:val="6B5465E1"/>
    <w:rsid w:val="6B8A9995"/>
    <w:rsid w:val="6C1478F0"/>
    <w:rsid w:val="6C669E0A"/>
    <w:rsid w:val="6C9AE024"/>
    <w:rsid w:val="6CDA4B76"/>
    <w:rsid w:val="6CE70100"/>
    <w:rsid w:val="6CEADD87"/>
    <w:rsid w:val="6CF23D4A"/>
    <w:rsid w:val="6D06B740"/>
    <w:rsid w:val="6D481345"/>
    <w:rsid w:val="6D4DFE81"/>
    <w:rsid w:val="6D94C659"/>
    <w:rsid w:val="6DA9E78A"/>
    <w:rsid w:val="6DACE5A6"/>
    <w:rsid w:val="6DD76435"/>
    <w:rsid w:val="6DD9998F"/>
    <w:rsid w:val="6E12EC86"/>
    <w:rsid w:val="6E1C8098"/>
    <w:rsid w:val="6E37CD16"/>
    <w:rsid w:val="6E4735D7"/>
    <w:rsid w:val="6EBE2676"/>
    <w:rsid w:val="6F5F59D1"/>
    <w:rsid w:val="6F632CA6"/>
    <w:rsid w:val="6F6659B1"/>
    <w:rsid w:val="6FA8FA7A"/>
    <w:rsid w:val="70921C7E"/>
    <w:rsid w:val="70982E1C"/>
    <w:rsid w:val="709F86E3"/>
    <w:rsid w:val="70D944D3"/>
    <w:rsid w:val="71171033"/>
    <w:rsid w:val="7123360E"/>
    <w:rsid w:val="71B69809"/>
    <w:rsid w:val="71C21576"/>
    <w:rsid w:val="71D4CCC4"/>
    <w:rsid w:val="71D812F5"/>
    <w:rsid w:val="71EB4C47"/>
    <w:rsid w:val="72252BFC"/>
    <w:rsid w:val="726C3E28"/>
    <w:rsid w:val="72801C44"/>
    <w:rsid w:val="729B7A96"/>
    <w:rsid w:val="72DA7902"/>
    <w:rsid w:val="73257C3D"/>
    <w:rsid w:val="73531977"/>
    <w:rsid w:val="73583EBF"/>
    <w:rsid w:val="7360D4BC"/>
    <w:rsid w:val="73628264"/>
    <w:rsid w:val="736377C4"/>
    <w:rsid w:val="737711FF"/>
    <w:rsid w:val="742F0CBB"/>
    <w:rsid w:val="74329C09"/>
    <w:rsid w:val="7433D81A"/>
    <w:rsid w:val="74811181"/>
    <w:rsid w:val="74AD03EC"/>
    <w:rsid w:val="75084FE0"/>
    <w:rsid w:val="75099FC2"/>
    <w:rsid w:val="75346C0B"/>
    <w:rsid w:val="754A6530"/>
    <w:rsid w:val="757A38D7"/>
    <w:rsid w:val="75ABFDF1"/>
    <w:rsid w:val="75B741A4"/>
    <w:rsid w:val="76366589"/>
    <w:rsid w:val="76655F4B"/>
    <w:rsid w:val="767F5085"/>
    <w:rsid w:val="7686BC2B"/>
    <w:rsid w:val="76E300F1"/>
    <w:rsid w:val="76F63D1F"/>
    <w:rsid w:val="773AFC7B"/>
    <w:rsid w:val="779ADAF8"/>
    <w:rsid w:val="77D2FD28"/>
    <w:rsid w:val="77E5125A"/>
    <w:rsid w:val="77F3E5B2"/>
    <w:rsid w:val="7811CB44"/>
    <w:rsid w:val="78182F37"/>
    <w:rsid w:val="781FB4D5"/>
    <w:rsid w:val="7835A0E9"/>
    <w:rsid w:val="78633195"/>
    <w:rsid w:val="786AFC19"/>
    <w:rsid w:val="788DA325"/>
    <w:rsid w:val="78D24E84"/>
    <w:rsid w:val="78DA3F53"/>
    <w:rsid w:val="78E1B503"/>
    <w:rsid w:val="791AFD03"/>
    <w:rsid w:val="7945826D"/>
    <w:rsid w:val="79B7C28C"/>
    <w:rsid w:val="79BBFE9E"/>
    <w:rsid w:val="7A045F6B"/>
    <w:rsid w:val="7A0AD803"/>
    <w:rsid w:val="7A103E89"/>
    <w:rsid w:val="7A260F48"/>
    <w:rsid w:val="7A34C830"/>
    <w:rsid w:val="7A466530"/>
    <w:rsid w:val="7A8D44D4"/>
    <w:rsid w:val="7A942DEC"/>
    <w:rsid w:val="7A962274"/>
    <w:rsid w:val="7AA6B97F"/>
    <w:rsid w:val="7ABE4341"/>
    <w:rsid w:val="7BB1330C"/>
    <w:rsid w:val="7BE326C1"/>
    <w:rsid w:val="7BF1CA22"/>
    <w:rsid w:val="7C02732E"/>
    <w:rsid w:val="7C17D827"/>
    <w:rsid w:val="7C30BC05"/>
    <w:rsid w:val="7C3C3E23"/>
    <w:rsid w:val="7C4A6AF0"/>
    <w:rsid w:val="7C8BF28B"/>
    <w:rsid w:val="7CA98562"/>
    <w:rsid w:val="7D16D9A8"/>
    <w:rsid w:val="7D8A67E5"/>
    <w:rsid w:val="7D9A814C"/>
    <w:rsid w:val="7D9DA49B"/>
    <w:rsid w:val="7DA5B47C"/>
    <w:rsid w:val="7E0D4502"/>
    <w:rsid w:val="7E10FA17"/>
    <w:rsid w:val="7E24181A"/>
    <w:rsid w:val="7E3D6B2F"/>
    <w:rsid w:val="7E4912EB"/>
    <w:rsid w:val="7E543193"/>
    <w:rsid w:val="7EA4E761"/>
    <w:rsid w:val="7EB5F0E5"/>
    <w:rsid w:val="7EE74EF5"/>
    <w:rsid w:val="7F5CCDE4"/>
    <w:rsid w:val="7F7C0484"/>
    <w:rsid w:val="7FCA60E8"/>
    <w:rsid w:val="7FDC73C3"/>
    <w:rsid w:val="7FDF77AC"/>
    <w:rsid w:val="7FFF1F1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3c3,#fc0"/>
    </o:shapedefaults>
    <o:shapelayout v:ext="edit">
      <o:idmap v:ext="edit" data="2"/>
    </o:shapelayout>
  </w:shapeDefaults>
  <w:decimalSymbol w:val="."/>
  <w:listSeparator w:val=","/>
  <w14:docId w14:val="7A835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New Roman" w:hAnsi="Arial" w:cs="Times New Roman"/>
        <w:sz w:val="21"/>
        <w:szCs w:val="21"/>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7" w:semiHidden="1" w:unhideWhenUsed="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M Normal"/>
    <w:qFormat/>
    <w:rsid w:val="00D70D14"/>
    <w:pPr>
      <w:spacing w:line="360" w:lineRule="auto"/>
      <w:jc w:val="both"/>
    </w:pPr>
  </w:style>
  <w:style w:type="paragraph" w:styleId="Heading1">
    <w:name w:val="heading 1"/>
    <w:basedOn w:val="Normal"/>
    <w:next w:val="Normal"/>
    <w:link w:val="Heading1Char"/>
    <w:qFormat/>
    <w:rsid w:val="00715949"/>
    <w:pPr>
      <w:pageBreakBefore/>
      <w:numPr>
        <w:numId w:val="8"/>
      </w:numPr>
      <w:spacing w:after="120"/>
      <w:outlineLvl w:val="0"/>
    </w:pPr>
    <w:rPr>
      <w:b/>
      <w:u w:val="single"/>
    </w:rPr>
  </w:style>
  <w:style w:type="paragraph" w:styleId="Heading2">
    <w:name w:val="heading 2"/>
    <w:basedOn w:val="Normal"/>
    <w:next w:val="Normal"/>
    <w:link w:val="Heading2Char"/>
    <w:qFormat/>
    <w:rsid w:val="003D6B6F"/>
    <w:pPr>
      <w:keepNext/>
      <w:numPr>
        <w:ilvl w:val="1"/>
        <w:numId w:val="8"/>
      </w:numPr>
      <w:spacing w:after="120"/>
      <w:outlineLvl w:val="1"/>
    </w:pPr>
    <w:rPr>
      <w:b/>
    </w:rPr>
  </w:style>
  <w:style w:type="paragraph" w:styleId="Heading3">
    <w:name w:val="heading 3"/>
    <w:basedOn w:val="Normal"/>
    <w:next w:val="ListNumber"/>
    <w:rsid w:val="00847C83"/>
    <w:pPr>
      <w:keepNext/>
      <w:jc w:val="left"/>
      <w:outlineLvl w:val="2"/>
    </w:pPr>
    <w:rPr>
      <w:b/>
    </w:rPr>
  </w:style>
  <w:style w:type="paragraph" w:styleId="Heading4">
    <w:name w:val="heading 4"/>
    <w:basedOn w:val="Normal"/>
    <w:next w:val="Normal"/>
    <w:rsid w:val="002D2330"/>
    <w:pPr>
      <w:keepNext/>
      <w:spacing w:before="240" w:after="60"/>
      <w:outlineLvl w:val="3"/>
    </w:pPr>
    <w:rPr>
      <w:b/>
      <w:bCs/>
      <w:sz w:val="28"/>
      <w:szCs w:val="28"/>
    </w:rPr>
  </w:style>
  <w:style w:type="paragraph" w:styleId="Heading5">
    <w:name w:val="heading 5"/>
    <w:basedOn w:val="Normal"/>
    <w:next w:val="Normal"/>
    <w:rsid w:val="002D2330"/>
    <w:pPr>
      <w:spacing w:before="240" w:after="60"/>
      <w:outlineLvl w:val="4"/>
    </w:pPr>
    <w:rPr>
      <w:b/>
      <w:bCs/>
      <w:i/>
      <w:iCs/>
      <w:sz w:val="26"/>
      <w:szCs w:val="26"/>
    </w:rPr>
  </w:style>
  <w:style w:type="paragraph" w:styleId="Heading6">
    <w:name w:val="heading 6"/>
    <w:basedOn w:val="Normal"/>
    <w:next w:val="Normal"/>
    <w:rsid w:val="002D2330"/>
    <w:pPr>
      <w:spacing w:before="240" w:after="60"/>
      <w:outlineLvl w:val="5"/>
    </w:pPr>
    <w:rPr>
      <w:b/>
      <w:bCs/>
      <w:sz w:val="22"/>
      <w:szCs w:val="22"/>
    </w:rPr>
  </w:style>
  <w:style w:type="paragraph" w:styleId="Heading7">
    <w:name w:val="heading 7"/>
    <w:basedOn w:val="Normal"/>
    <w:next w:val="Normal"/>
    <w:rsid w:val="002D2330"/>
    <w:pPr>
      <w:spacing w:before="240" w:after="60"/>
      <w:outlineLvl w:val="6"/>
    </w:pPr>
  </w:style>
  <w:style w:type="paragraph" w:styleId="Heading8">
    <w:name w:val="heading 8"/>
    <w:basedOn w:val="Normal"/>
    <w:next w:val="Normal"/>
    <w:qFormat/>
    <w:rsid w:val="002D2330"/>
    <w:pPr>
      <w:spacing w:before="240" w:after="60"/>
      <w:outlineLvl w:val="7"/>
    </w:pPr>
    <w:rPr>
      <w:i/>
      <w:iCs/>
    </w:rPr>
  </w:style>
  <w:style w:type="paragraph" w:styleId="Heading9">
    <w:name w:val="heading 9"/>
    <w:basedOn w:val="Normal"/>
    <w:next w:val="Normal"/>
    <w:qFormat/>
    <w:rsid w:val="002D2330"/>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666A08"/>
    <w:pPr>
      <w:tabs>
        <w:tab w:val="center" w:pos="4320"/>
        <w:tab w:val="right" w:pos="8640"/>
      </w:tabs>
    </w:pPr>
  </w:style>
  <w:style w:type="character" w:styleId="PageNumber">
    <w:name w:val="page number"/>
    <w:basedOn w:val="DefaultParagraphFont"/>
    <w:rsid w:val="00666A08"/>
  </w:style>
  <w:style w:type="paragraph" w:styleId="TOC1">
    <w:name w:val="toc 1"/>
    <w:basedOn w:val="Normal"/>
    <w:next w:val="Normal"/>
    <w:uiPriority w:val="39"/>
    <w:rsid w:val="00666A08"/>
    <w:pPr>
      <w:tabs>
        <w:tab w:val="left" w:leader="dot" w:pos="8280"/>
        <w:tab w:val="right" w:pos="8640"/>
      </w:tabs>
      <w:ind w:right="720"/>
    </w:pPr>
  </w:style>
  <w:style w:type="paragraph" w:styleId="TOC2">
    <w:name w:val="toc 2"/>
    <w:basedOn w:val="Normal"/>
    <w:next w:val="Normal"/>
    <w:uiPriority w:val="39"/>
    <w:rsid w:val="00666A08"/>
    <w:pPr>
      <w:tabs>
        <w:tab w:val="left" w:leader="dot" w:pos="8280"/>
        <w:tab w:val="right" w:pos="8640"/>
      </w:tabs>
      <w:ind w:left="720" w:right="720"/>
    </w:pPr>
  </w:style>
  <w:style w:type="paragraph" w:styleId="CommentText">
    <w:name w:val="annotation text"/>
    <w:basedOn w:val="Normal"/>
    <w:link w:val="CommentTextChar"/>
    <w:uiPriority w:val="99"/>
    <w:semiHidden/>
    <w:rsid w:val="00666A08"/>
  </w:style>
  <w:style w:type="paragraph" w:styleId="ListBullet">
    <w:name w:val="List Bullet"/>
    <w:basedOn w:val="Normal"/>
    <w:rsid w:val="00666A08"/>
    <w:pPr>
      <w:ind w:left="360" w:hanging="360"/>
    </w:pPr>
  </w:style>
  <w:style w:type="paragraph" w:styleId="Header">
    <w:name w:val="header"/>
    <w:basedOn w:val="Normal"/>
    <w:link w:val="HeaderChar"/>
    <w:uiPriority w:val="99"/>
    <w:rsid w:val="00666A08"/>
    <w:pPr>
      <w:tabs>
        <w:tab w:val="center" w:pos="4320"/>
        <w:tab w:val="right" w:pos="8640"/>
      </w:tabs>
    </w:pPr>
  </w:style>
  <w:style w:type="paragraph" w:styleId="DocumentMap">
    <w:name w:val="Document Map"/>
    <w:basedOn w:val="Normal"/>
    <w:semiHidden/>
    <w:rsid w:val="00666A08"/>
    <w:pPr>
      <w:shd w:val="clear" w:color="auto" w:fill="000080"/>
    </w:pPr>
    <w:rPr>
      <w:rFonts w:ascii="Tahoma" w:hAnsi="Tahoma"/>
    </w:rPr>
  </w:style>
  <w:style w:type="paragraph" w:styleId="BalloonText">
    <w:name w:val="Balloon Text"/>
    <w:basedOn w:val="Normal"/>
    <w:semiHidden/>
    <w:rsid w:val="00AB22ED"/>
    <w:rPr>
      <w:rFonts w:ascii="Tahoma" w:hAnsi="Tahoma" w:cs="Tahoma"/>
      <w:sz w:val="16"/>
      <w:szCs w:val="16"/>
    </w:rPr>
  </w:style>
  <w:style w:type="character" w:styleId="CommentReference">
    <w:name w:val="annotation reference"/>
    <w:uiPriority w:val="99"/>
    <w:semiHidden/>
    <w:rsid w:val="002B53EE"/>
    <w:rPr>
      <w:sz w:val="16"/>
      <w:szCs w:val="16"/>
    </w:rPr>
  </w:style>
  <w:style w:type="paragraph" w:styleId="CommentSubject">
    <w:name w:val="annotation subject"/>
    <w:basedOn w:val="CommentText"/>
    <w:next w:val="CommentText"/>
    <w:semiHidden/>
    <w:rsid w:val="002B53EE"/>
    <w:rPr>
      <w:b/>
      <w:bCs/>
    </w:rPr>
  </w:style>
  <w:style w:type="table" w:styleId="TableGrid">
    <w:name w:val="Table Grid"/>
    <w:basedOn w:val="TableNormal"/>
    <w:rsid w:val="006C33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3F6908"/>
    <w:rPr>
      <w:color w:val="0000FF"/>
      <w:u w:val="single"/>
    </w:rPr>
  </w:style>
  <w:style w:type="character" w:styleId="FollowedHyperlink">
    <w:name w:val="FollowedHyperlink"/>
    <w:rsid w:val="003F6908"/>
    <w:rPr>
      <w:color w:val="800080"/>
      <w:u w:val="single"/>
    </w:rPr>
  </w:style>
  <w:style w:type="paragraph" w:customStyle="1" w:styleId="xl24">
    <w:name w:val="xl24"/>
    <w:basedOn w:val="Normal"/>
    <w:rsid w:val="003F6908"/>
    <w:pPr>
      <w:spacing w:before="100" w:beforeAutospacing="1" w:after="100" w:afterAutospacing="1"/>
    </w:pPr>
  </w:style>
  <w:style w:type="paragraph" w:styleId="Caption">
    <w:name w:val="caption"/>
    <w:basedOn w:val="Normal"/>
    <w:next w:val="Normal"/>
    <w:qFormat/>
    <w:rsid w:val="00C627E2"/>
    <w:pPr>
      <w:spacing w:before="120" w:after="120"/>
      <w:jc w:val="left"/>
    </w:pPr>
    <w:rPr>
      <w:b/>
      <w:bCs/>
    </w:rPr>
  </w:style>
  <w:style w:type="paragraph" w:styleId="TableofFigures">
    <w:name w:val="table of figures"/>
    <w:basedOn w:val="Normal"/>
    <w:next w:val="Normal"/>
    <w:uiPriority w:val="99"/>
    <w:rsid w:val="00F940F8"/>
    <w:pPr>
      <w:ind w:left="400" w:hanging="400"/>
    </w:pPr>
  </w:style>
  <w:style w:type="paragraph" w:styleId="TOC3">
    <w:name w:val="toc 3"/>
    <w:basedOn w:val="Normal"/>
    <w:next w:val="Normal"/>
    <w:autoRedefine/>
    <w:uiPriority w:val="39"/>
    <w:rsid w:val="00FD6400"/>
    <w:pPr>
      <w:ind w:left="400"/>
    </w:pPr>
  </w:style>
  <w:style w:type="paragraph" w:styleId="FootnoteText">
    <w:name w:val="footnote text"/>
    <w:basedOn w:val="Normal"/>
    <w:link w:val="FootnoteTextChar"/>
    <w:uiPriority w:val="99"/>
    <w:semiHidden/>
    <w:rsid w:val="00BD286E"/>
  </w:style>
  <w:style w:type="character" w:styleId="FootnoteReference">
    <w:name w:val="footnote reference"/>
    <w:uiPriority w:val="99"/>
    <w:rsid w:val="00BD286E"/>
    <w:rPr>
      <w:vertAlign w:val="superscript"/>
    </w:rPr>
  </w:style>
  <w:style w:type="paragraph" w:customStyle="1" w:styleId="Style1">
    <w:name w:val="Style1"/>
    <w:basedOn w:val="TableofFigures"/>
    <w:rsid w:val="003B2463"/>
    <w:pPr>
      <w:keepNext/>
    </w:pPr>
    <w:rPr>
      <w:rFonts w:cs="Arial"/>
      <w:b/>
    </w:rPr>
  </w:style>
  <w:style w:type="paragraph" w:styleId="TOC4">
    <w:name w:val="toc 4"/>
    <w:aliases w:val="RM"/>
    <w:basedOn w:val="StyleTableofFiguresArialBold1"/>
    <w:next w:val="ListContinue2"/>
    <w:autoRedefine/>
    <w:semiHidden/>
    <w:rsid w:val="00091E99"/>
    <w:pPr>
      <w:framePr w:wrap="around" w:vAnchor="text" w:hAnchor="text" w:y="1"/>
      <w:ind w:left="225" w:hanging="225"/>
    </w:pPr>
    <w:rPr>
      <w:b w:val="0"/>
      <w:sz w:val="21"/>
    </w:rPr>
  </w:style>
  <w:style w:type="paragraph" w:customStyle="1" w:styleId="StyleTableofFiguresArialBold1">
    <w:name w:val="Style Table of Figures + Arial Bold1"/>
    <w:basedOn w:val="TableofFigures"/>
    <w:rsid w:val="00910B48"/>
    <w:rPr>
      <w:b/>
      <w:bCs/>
      <w:sz w:val="20"/>
    </w:rPr>
  </w:style>
  <w:style w:type="paragraph" w:styleId="ListContinue2">
    <w:name w:val="List Continue 2"/>
    <w:basedOn w:val="Normal"/>
    <w:rsid w:val="00EB1063"/>
    <w:pPr>
      <w:spacing w:after="120"/>
      <w:ind w:left="720"/>
    </w:pPr>
  </w:style>
  <w:style w:type="paragraph" w:customStyle="1" w:styleId="StyleTableofFiguresArialBold">
    <w:name w:val="Style Table of Figures + Arial Bold"/>
    <w:basedOn w:val="TableofFigures"/>
    <w:rsid w:val="003B2463"/>
    <w:pPr>
      <w:ind w:left="405" w:hanging="405"/>
    </w:pPr>
    <w:rPr>
      <w:b/>
      <w:bCs/>
    </w:rPr>
  </w:style>
  <w:style w:type="paragraph" w:customStyle="1" w:styleId="xl25">
    <w:name w:val="xl25"/>
    <w:basedOn w:val="Normal"/>
    <w:rsid w:val="0025734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b/>
      <w:bCs/>
      <w:sz w:val="16"/>
      <w:szCs w:val="16"/>
    </w:rPr>
  </w:style>
  <w:style w:type="paragraph" w:customStyle="1" w:styleId="xl26">
    <w:name w:val="xl26"/>
    <w:basedOn w:val="Normal"/>
    <w:rsid w:val="00257348"/>
    <w:pPr>
      <w:pBdr>
        <w:top w:val="single" w:sz="4" w:space="0" w:color="auto"/>
        <w:left w:val="single" w:sz="4" w:space="9" w:color="auto"/>
        <w:bottom w:val="single" w:sz="4" w:space="0" w:color="auto"/>
        <w:right w:val="single" w:sz="4" w:space="0" w:color="auto"/>
      </w:pBdr>
      <w:spacing w:before="100" w:beforeAutospacing="1" w:after="100" w:afterAutospacing="1"/>
      <w:ind w:firstLineChars="100" w:firstLine="100"/>
      <w:textAlignment w:val="center"/>
    </w:pPr>
    <w:rPr>
      <w:sz w:val="16"/>
      <w:szCs w:val="16"/>
    </w:rPr>
  </w:style>
  <w:style w:type="paragraph" w:customStyle="1" w:styleId="xl27">
    <w:name w:val="xl27"/>
    <w:basedOn w:val="Normal"/>
    <w:rsid w:val="00257348"/>
    <w:pPr>
      <w:pBdr>
        <w:top w:val="single" w:sz="4" w:space="0" w:color="auto"/>
        <w:left w:val="single" w:sz="4" w:space="0" w:color="auto"/>
        <w:bottom w:val="single" w:sz="4" w:space="0" w:color="auto"/>
      </w:pBdr>
      <w:spacing w:before="100" w:beforeAutospacing="1" w:after="100" w:afterAutospacing="1"/>
    </w:pPr>
    <w:rPr>
      <w:rFonts w:cs="Arial"/>
      <w:b/>
      <w:bCs/>
      <w:sz w:val="16"/>
      <w:szCs w:val="16"/>
    </w:rPr>
  </w:style>
  <w:style w:type="paragraph" w:customStyle="1" w:styleId="xl28">
    <w:name w:val="xl28"/>
    <w:basedOn w:val="Normal"/>
    <w:rsid w:val="00257348"/>
    <w:pPr>
      <w:pBdr>
        <w:top w:val="single" w:sz="4" w:space="0" w:color="auto"/>
        <w:bottom w:val="single" w:sz="4" w:space="0" w:color="auto"/>
      </w:pBdr>
      <w:spacing w:before="100" w:beforeAutospacing="1" w:after="100" w:afterAutospacing="1"/>
    </w:pPr>
    <w:rPr>
      <w:rFonts w:cs="Arial"/>
      <w:sz w:val="16"/>
      <w:szCs w:val="16"/>
    </w:rPr>
  </w:style>
  <w:style w:type="paragraph" w:customStyle="1" w:styleId="xl29">
    <w:name w:val="xl29"/>
    <w:basedOn w:val="Normal"/>
    <w:rsid w:val="00257348"/>
    <w:pPr>
      <w:pBdr>
        <w:top w:val="single" w:sz="4" w:space="0" w:color="auto"/>
        <w:bottom w:val="single" w:sz="4" w:space="0" w:color="auto"/>
        <w:right w:val="single" w:sz="4" w:space="0" w:color="auto"/>
      </w:pBdr>
      <w:spacing w:before="100" w:beforeAutospacing="1" w:after="100" w:afterAutospacing="1"/>
    </w:pPr>
    <w:rPr>
      <w:rFonts w:cs="Arial"/>
      <w:sz w:val="16"/>
      <w:szCs w:val="16"/>
    </w:rPr>
  </w:style>
  <w:style w:type="paragraph" w:customStyle="1" w:styleId="xl30">
    <w:name w:val="xl30"/>
    <w:basedOn w:val="Normal"/>
    <w:rsid w:val="00257348"/>
    <w:pPr>
      <w:pBdr>
        <w:top w:val="single" w:sz="4" w:space="0" w:color="auto"/>
        <w:left w:val="single" w:sz="4" w:space="0" w:color="auto"/>
        <w:bottom w:val="single" w:sz="4" w:space="0" w:color="auto"/>
        <w:right w:val="single" w:sz="4" w:space="9" w:color="auto"/>
      </w:pBdr>
      <w:spacing w:before="100" w:beforeAutospacing="1" w:after="100" w:afterAutospacing="1"/>
      <w:ind w:firstLineChars="100" w:firstLine="100"/>
      <w:jc w:val="right"/>
    </w:pPr>
    <w:rPr>
      <w:sz w:val="16"/>
      <w:szCs w:val="16"/>
    </w:rPr>
  </w:style>
  <w:style w:type="paragraph" w:customStyle="1" w:styleId="xl31">
    <w:name w:val="xl31"/>
    <w:basedOn w:val="Normal"/>
    <w:rsid w:val="00257348"/>
    <w:pPr>
      <w:pBdr>
        <w:top w:val="single" w:sz="4" w:space="0" w:color="auto"/>
        <w:left w:val="single" w:sz="4" w:space="0" w:color="auto"/>
        <w:bottom w:val="single" w:sz="4" w:space="0" w:color="auto"/>
        <w:right w:val="single" w:sz="4" w:space="9" w:color="auto"/>
      </w:pBdr>
      <w:spacing w:before="100" w:beforeAutospacing="1" w:after="100" w:afterAutospacing="1"/>
      <w:ind w:firstLineChars="100" w:firstLine="100"/>
      <w:jc w:val="right"/>
    </w:pPr>
    <w:rPr>
      <w:sz w:val="16"/>
      <w:szCs w:val="16"/>
    </w:rPr>
  </w:style>
  <w:style w:type="paragraph" w:customStyle="1" w:styleId="xl32">
    <w:name w:val="xl32"/>
    <w:basedOn w:val="Normal"/>
    <w:rsid w:val="00257348"/>
    <w:pPr>
      <w:pBdr>
        <w:top w:val="single" w:sz="4" w:space="0" w:color="auto"/>
        <w:left w:val="single" w:sz="4" w:space="0" w:color="auto"/>
        <w:bottom w:val="single" w:sz="4" w:space="0" w:color="auto"/>
      </w:pBdr>
      <w:spacing w:before="100" w:beforeAutospacing="1" w:after="100" w:afterAutospacing="1"/>
      <w:ind w:firstLineChars="100" w:firstLine="100"/>
      <w:jc w:val="right"/>
      <w:textAlignment w:val="center"/>
    </w:pPr>
    <w:rPr>
      <w:rFonts w:cs="Arial"/>
      <w:b/>
      <w:bCs/>
      <w:sz w:val="16"/>
      <w:szCs w:val="16"/>
    </w:rPr>
  </w:style>
  <w:style w:type="paragraph" w:customStyle="1" w:styleId="xl33">
    <w:name w:val="xl33"/>
    <w:basedOn w:val="Normal"/>
    <w:rsid w:val="00257348"/>
    <w:pPr>
      <w:pBdr>
        <w:top w:val="single" w:sz="4" w:space="0" w:color="auto"/>
        <w:bottom w:val="single" w:sz="4" w:space="0" w:color="auto"/>
      </w:pBdr>
      <w:spacing w:before="100" w:beforeAutospacing="1" w:after="100" w:afterAutospacing="1"/>
      <w:ind w:firstLineChars="100" w:firstLine="100"/>
      <w:jc w:val="right"/>
      <w:textAlignment w:val="center"/>
    </w:pPr>
  </w:style>
  <w:style w:type="paragraph" w:customStyle="1" w:styleId="xl34">
    <w:name w:val="xl34"/>
    <w:basedOn w:val="Normal"/>
    <w:rsid w:val="00257348"/>
    <w:pPr>
      <w:pBdr>
        <w:top w:val="single" w:sz="4" w:space="0" w:color="auto"/>
        <w:bottom w:val="single" w:sz="4" w:space="0" w:color="auto"/>
        <w:right w:val="single" w:sz="4" w:space="9" w:color="auto"/>
      </w:pBdr>
      <w:spacing w:before="100" w:beforeAutospacing="1" w:after="100" w:afterAutospacing="1"/>
      <w:ind w:firstLineChars="100" w:firstLine="100"/>
      <w:jc w:val="right"/>
      <w:textAlignment w:val="center"/>
    </w:pPr>
  </w:style>
  <w:style w:type="paragraph" w:customStyle="1" w:styleId="xl35">
    <w:name w:val="xl35"/>
    <w:basedOn w:val="Normal"/>
    <w:rsid w:val="00257348"/>
    <w:pPr>
      <w:pBdr>
        <w:top w:val="single" w:sz="4" w:space="0" w:color="auto"/>
        <w:left w:val="single" w:sz="4" w:space="0" w:color="auto"/>
        <w:bottom w:val="single" w:sz="4" w:space="0" w:color="auto"/>
      </w:pBdr>
      <w:spacing w:before="100" w:beforeAutospacing="1" w:after="100" w:afterAutospacing="1"/>
      <w:textAlignment w:val="center"/>
    </w:pPr>
  </w:style>
  <w:style w:type="paragraph" w:customStyle="1" w:styleId="xl36">
    <w:name w:val="xl36"/>
    <w:basedOn w:val="Normal"/>
    <w:rsid w:val="00257348"/>
    <w:pPr>
      <w:pBdr>
        <w:top w:val="single" w:sz="4" w:space="0" w:color="auto"/>
        <w:bottom w:val="single" w:sz="4" w:space="0" w:color="auto"/>
      </w:pBdr>
      <w:spacing w:before="100" w:beforeAutospacing="1" w:after="100" w:afterAutospacing="1"/>
      <w:textAlignment w:val="center"/>
    </w:pPr>
  </w:style>
  <w:style w:type="paragraph" w:customStyle="1" w:styleId="xl37">
    <w:name w:val="xl37"/>
    <w:basedOn w:val="Normal"/>
    <w:rsid w:val="00257348"/>
    <w:pPr>
      <w:pBdr>
        <w:top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38">
    <w:name w:val="xl38"/>
    <w:basedOn w:val="Normal"/>
    <w:rsid w:val="00257348"/>
    <w:pPr>
      <w:pBdr>
        <w:top w:val="single" w:sz="4" w:space="0" w:color="auto"/>
        <w:left w:val="single" w:sz="4" w:space="0" w:color="auto"/>
        <w:bottom w:val="single" w:sz="4" w:space="0" w:color="auto"/>
        <w:right w:val="single" w:sz="4" w:space="9" w:color="auto"/>
      </w:pBdr>
      <w:spacing w:before="100" w:beforeAutospacing="1" w:after="100" w:afterAutospacing="1"/>
      <w:ind w:firstLineChars="100" w:firstLine="100"/>
      <w:jc w:val="right"/>
    </w:pPr>
    <w:rPr>
      <w:sz w:val="16"/>
      <w:szCs w:val="16"/>
    </w:rPr>
  </w:style>
  <w:style w:type="paragraph" w:customStyle="1" w:styleId="Bullets">
    <w:name w:val="Bullets"/>
    <w:basedOn w:val="Normal"/>
    <w:qFormat/>
    <w:rsid w:val="00716F12"/>
    <w:pPr>
      <w:numPr>
        <w:numId w:val="1"/>
      </w:numPr>
      <w:spacing w:after="120"/>
    </w:pPr>
    <w:rPr>
      <w:rFonts w:cs="Arial"/>
      <w:sz w:val="20"/>
    </w:rPr>
  </w:style>
  <w:style w:type="paragraph" w:customStyle="1" w:styleId="BulletLast">
    <w:name w:val="Bullet Last"/>
    <w:basedOn w:val="Bullets"/>
    <w:next w:val="Normal"/>
    <w:qFormat/>
    <w:rsid w:val="00716F12"/>
    <w:pPr>
      <w:spacing w:after="360"/>
    </w:pPr>
  </w:style>
  <w:style w:type="paragraph" w:customStyle="1" w:styleId="Footnote">
    <w:name w:val="Footnote"/>
    <w:basedOn w:val="FootnoteText"/>
    <w:qFormat/>
    <w:rsid w:val="00716F12"/>
    <w:pPr>
      <w:spacing w:after="120"/>
    </w:pPr>
    <w:rPr>
      <w:rFonts w:ascii="Franklin Gothic Book" w:eastAsia="Calibri" w:hAnsi="Franklin Gothic Book"/>
      <w:sz w:val="18"/>
      <w:szCs w:val="20"/>
    </w:rPr>
  </w:style>
  <w:style w:type="paragraph" w:styleId="PlainText">
    <w:name w:val="Plain Text"/>
    <w:basedOn w:val="Normal"/>
    <w:link w:val="PlainTextChar"/>
    <w:uiPriority w:val="99"/>
    <w:unhideWhenUsed/>
    <w:rsid w:val="009E0E20"/>
    <w:rPr>
      <w:rFonts w:ascii="Consolas" w:eastAsia="Calibri" w:hAnsi="Consolas"/>
    </w:rPr>
  </w:style>
  <w:style w:type="character" w:customStyle="1" w:styleId="PlainTextChar">
    <w:name w:val="Plain Text Char"/>
    <w:link w:val="PlainText"/>
    <w:uiPriority w:val="99"/>
    <w:rsid w:val="009E0E20"/>
    <w:rPr>
      <w:rFonts w:ascii="Consolas" w:eastAsia="Calibri" w:hAnsi="Consolas" w:cs="Times New Roman"/>
      <w:sz w:val="21"/>
      <w:szCs w:val="21"/>
    </w:rPr>
  </w:style>
  <w:style w:type="paragraph" w:styleId="ListParagraph">
    <w:name w:val="List Paragraph"/>
    <w:basedOn w:val="Normal"/>
    <w:uiPriority w:val="34"/>
    <w:qFormat/>
    <w:rsid w:val="007D5194"/>
    <w:pPr>
      <w:ind w:left="720"/>
      <w:contextualSpacing/>
    </w:pPr>
  </w:style>
  <w:style w:type="character" w:customStyle="1" w:styleId="Heading1Char">
    <w:name w:val="Heading 1 Char"/>
    <w:link w:val="Heading1"/>
    <w:rsid w:val="00715949"/>
    <w:rPr>
      <w:b/>
      <w:u w:val="single"/>
    </w:rPr>
  </w:style>
  <w:style w:type="paragraph" w:customStyle="1" w:styleId="TableStyle">
    <w:name w:val="Table Style"/>
    <w:basedOn w:val="Caption"/>
    <w:qFormat/>
    <w:rsid w:val="006535FA"/>
    <w:pPr>
      <w:keepNext/>
    </w:pPr>
    <w:rPr>
      <w:rFonts w:cs="Arial"/>
      <w:bCs w:val="0"/>
      <w:sz w:val="20"/>
    </w:rPr>
  </w:style>
  <w:style w:type="paragraph" w:customStyle="1" w:styleId="FigureStyle">
    <w:name w:val="Figure Style"/>
    <w:basedOn w:val="TableStyle"/>
    <w:qFormat/>
    <w:rsid w:val="00002575"/>
  </w:style>
  <w:style w:type="paragraph" w:styleId="Revision">
    <w:name w:val="Revision"/>
    <w:hidden/>
    <w:uiPriority w:val="99"/>
    <w:semiHidden/>
    <w:rsid w:val="00471E4E"/>
    <w:rPr>
      <w:sz w:val="24"/>
    </w:rPr>
  </w:style>
  <w:style w:type="paragraph" w:styleId="NormalWeb">
    <w:name w:val="Normal (Web)"/>
    <w:basedOn w:val="Normal"/>
    <w:uiPriority w:val="99"/>
    <w:unhideWhenUsed/>
    <w:rsid w:val="00261F9F"/>
    <w:pPr>
      <w:spacing w:before="100" w:beforeAutospacing="1" w:after="100" w:afterAutospacing="1"/>
    </w:pPr>
  </w:style>
  <w:style w:type="paragraph" w:styleId="Title">
    <w:name w:val="Title"/>
    <w:aliases w:val="RM Title"/>
    <w:basedOn w:val="Normal"/>
    <w:next w:val="Normal"/>
    <w:link w:val="TitleChar"/>
    <w:qFormat/>
    <w:rsid w:val="00506D5C"/>
    <w:pPr>
      <w:pBdr>
        <w:bottom w:val="single" w:sz="8" w:space="4" w:color="4F81BD" w:themeColor="accent1"/>
      </w:pBdr>
      <w:spacing w:after="300"/>
      <w:contextualSpacing/>
      <w:jc w:val="center"/>
    </w:pPr>
    <w:rPr>
      <w:b/>
      <w:color w:val="17365D" w:themeColor="text2" w:themeShade="BF"/>
      <w:spacing w:val="5"/>
      <w:kern w:val="28"/>
      <w:sz w:val="56"/>
      <w:szCs w:val="52"/>
    </w:rPr>
  </w:style>
  <w:style w:type="character" w:customStyle="1" w:styleId="TitleChar">
    <w:name w:val="Title Char"/>
    <w:aliases w:val="RM Title Char"/>
    <w:basedOn w:val="DefaultParagraphFont"/>
    <w:link w:val="Title"/>
    <w:rsid w:val="00506D5C"/>
    <w:rPr>
      <w:b/>
      <w:color w:val="17365D" w:themeColor="text2" w:themeShade="BF"/>
      <w:spacing w:val="5"/>
      <w:kern w:val="28"/>
      <w:sz w:val="56"/>
      <w:szCs w:val="52"/>
    </w:rPr>
  </w:style>
  <w:style w:type="character" w:styleId="BookTitle">
    <w:name w:val="Book Title"/>
    <w:basedOn w:val="DefaultParagraphFont"/>
    <w:uiPriority w:val="33"/>
    <w:qFormat/>
    <w:rsid w:val="000360FD"/>
    <w:rPr>
      <w:b/>
      <w:bCs/>
      <w:smallCaps/>
      <w:spacing w:val="5"/>
    </w:rPr>
  </w:style>
  <w:style w:type="numbering" w:customStyle="1" w:styleId="Headings">
    <w:name w:val="Headings"/>
    <w:uiPriority w:val="99"/>
    <w:rsid w:val="00336A74"/>
    <w:pPr>
      <w:numPr>
        <w:numId w:val="6"/>
      </w:numPr>
    </w:pPr>
  </w:style>
  <w:style w:type="paragraph" w:styleId="TOCHeading">
    <w:name w:val="TOC Heading"/>
    <w:basedOn w:val="Heading1"/>
    <w:next w:val="Normal"/>
    <w:uiPriority w:val="39"/>
    <w:unhideWhenUsed/>
    <w:qFormat/>
    <w:rsid w:val="00336A74"/>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u w:val="none"/>
      <w:lang w:eastAsia="ja-JP"/>
    </w:rPr>
  </w:style>
  <w:style w:type="character" w:styleId="PlaceholderText">
    <w:name w:val="Placeholder Text"/>
    <w:basedOn w:val="DefaultParagraphFont"/>
    <w:uiPriority w:val="99"/>
    <w:semiHidden/>
    <w:rsid w:val="0042142D"/>
    <w:rPr>
      <w:color w:val="808080"/>
    </w:rPr>
  </w:style>
  <w:style w:type="character" w:customStyle="1" w:styleId="FooterChar">
    <w:name w:val="Footer Char"/>
    <w:basedOn w:val="DefaultParagraphFont"/>
    <w:link w:val="Footer"/>
    <w:uiPriority w:val="99"/>
    <w:rsid w:val="005D53C9"/>
  </w:style>
  <w:style w:type="paragraph" w:styleId="ListNumber">
    <w:name w:val="List Number"/>
    <w:basedOn w:val="Normal"/>
    <w:rsid w:val="00847C83"/>
    <w:pPr>
      <w:numPr>
        <w:numId w:val="7"/>
      </w:numPr>
      <w:contextualSpacing/>
    </w:pPr>
  </w:style>
  <w:style w:type="character" w:customStyle="1" w:styleId="Heading2Char">
    <w:name w:val="Heading 2 Char"/>
    <w:basedOn w:val="DefaultParagraphFont"/>
    <w:link w:val="Heading2"/>
    <w:rsid w:val="00E53C94"/>
    <w:rPr>
      <w:b/>
    </w:rPr>
  </w:style>
  <w:style w:type="character" w:customStyle="1" w:styleId="FootnoteTextChar">
    <w:name w:val="Footnote Text Char"/>
    <w:basedOn w:val="DefaultParagraphFont"/>
    <w:link w:val="FootnoteText"/>
    <w:uiPriority w:val="99"/>
    <w:semiHidden/>
    <w:rsid w:val="00E53C94"/>
  </w:style>
  <w:style w:type="character" w:customStyle="1" w:styleId="HeaderChar">
    <w:name w:val="Header Char"/>
    <w:basedOn w:val="DefaultParagraphFont"/>
    <w:link w:val="Header"/>
    <w:uiPriority w:val="99"/>
    <w:rsid w:val="008E0EC0"/>
  </w:style>
  <w:style w:type="character" w:customStyle="1" w:styleId="zzmpTrailerItem">
    <w:name w:val="zzmpTrailerItem"/>
    <w:basedOn w:val="DefaultParagraphFont"/>
    <w:rsid w:val="00522C7E"/>
    <w:rPr>
      <w:rFonts w:ascii="Arial" w:hAnsi="Arial" w:cs="Arial"/>
      <w:dstrike w:val="0"/>
      <w:noProof/>
      <w:color w:val="auto"/>
      <w:spacing w:val="0"/>
      <w:position w:val="0"/>
      <w:sz w:val="16"/>
      <w:szCs w:val="16"/>
      <w:u w:val="none"/>
      <w:effect w:val="none"/>
      <w:vertAlign w:val="baseline"/>
    </w:rPr>
  </w:style>
  <w:style w:type="character" w:styleId="UnresolvedMention">
    <w:name w:val="Unresolved Mention"/>
    <w:basedOn w:val="DefaultParagraphFont"/>
    <w:uiPriority w:val="99"/>
    <w:semiHidden/>
    <w:unhideWhenUsed/>
    <w:rsid w:val="008031C3"/>
    <w:rPr>
      <w:color w:val="605E5C"/>
      <w:shd w:val="clear" w:color="auto" w:fill="E1DFDD"/>
    </w:rPr>
  </w:style>
  <w:style w:type="character" w:customStyle="1" w:styleId="CommentTextChar">
    <w:name w:val="Comment Text Char"/>
    <w:basedOn w:val="DefaultParagraphFont"/>
    <w:link w:val="CommentText"/>
    <w:uiPriority w:val="99"/>
    <w:semiHidden/>
    <w:locked/>
    <w:rsid w:val="005974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76567">
      <w:bodyDiv w:val="1"/>
      <w:marLeft w:val="0"/>
      <w:marRight w:val="0"/>
      <w:marTop w:val="0"/>
      <w:marBottom w:val="0"/>
      <w:divBdr>
        <w:top w:val="none" w:sz="0" w:space="0" w:color="auto"/>
        <w:left w:val="none" w:sz="0" w:space="0" w:color="auto"/>
        <w:bottom w:val="none" w:sz="0" w:space="0" w:color="auto"/>
        <w:right w:val="none" w:sz="0" w:space="0" w:color="auto"/>
      </w:divBdr>
    </w:div>
    <w:div w:id="8414211">
      <w:bodyDiv w:val="1"/>
      <w:marLeft w:val="0"/>
      <w:marRight w:val="0"/>
      <w:marTop w:val="0"/>
      <w:marBottom w:val="0"/>
      <w:divBdr>
        <w:top w:val="none" w:sz="0" w:space="0" w:color="auto"/>
        <w:left w:val="none" w:sz="0" w:space="0" w:color="auto"/>
        <w:bottom w:val="none" w:sz="0" w:space="0" w:color="auto"/>
        <w:right w:val="none" w:sz="0" w:space="0" w:color="auto"/>
      </w:divBdr>
    </w:div>
    <w:div w:id="14118161">
      <w:bodyDiv w:val="1"/>
      <w:marLeft w:val="0"/>
      <w:marRight w:val="0"/>
      <w:marTop w:val="0"/>
      <w:marBottom w:val="0"/>
      <w:divBdr>
        <w:top w:val="none" w:sz="0" w:space="0" w:color="auto"/>
        <w:left w:val="none" w:sz="0" w:space="0" w:color="auto"/>
        <w:bottom w:val="none" w:sz="0" w:space="0" w:color="auto"/>
        <w:right w:val="none" w:sz="0" w:space="0" w:color="auto"/>
      </w:divBdr>
    </w:div>
    <w:div w:id="14157632">
      <w:bodyDiv w:val="1"/>
      <w:marLeft w:val="0"/>
      <w:marRight w:val="0"/>
      <w:marTop w:val="0"/>
      <w:marBottom w:val="0"/>
      <w:divBdr>
        <w:top w:val="none" w:sz="0" w:space="0" w:color="auto"/>
        <w:left w:val="none" w:sz="0" w:space="0" w:color="auto"/>
        <w:bottom w:val="none" w:sz="0" w:space="0" w:color="auto"/>
        <w:right w:val="none" w:sz="0" w:space="0" w:color="auto"/>
      </w:divBdr>
    </w:div>
    <w:div w:id="16660524">
      <w:bodyDiv w:val="1"/>
      <w:marLeft w:val="0"/>
      <w:marRight w:val="0"/>
      <w:marTop w:val="0"/>
      <w:marBottom w:val="0"/>
      <w:divBdr>
        <w:top w:val="none" w:sz="0" w:space="0" w:color="auto"/>
        <w:left w:val="none" w:sz="0" w:space="0" w:color="auto"/>
        <w:bottom w:val="none" w:sz="0" w:space="0" w:color="auto"/>
        <w:right w:val="none" w:sz="0" w:space="0" w:color="auto"/>
      </w:divBdr>
    </w:div>
    <w:div w:id="26953923">
      <w:bodyDiv w:val="1"/>
      <w:marLeft w:val="0"/>
      <w:marRight w:val="0"/>
      <w:marTop w:val="0"/>
      <w:marBottom w:val="0"/>
      <w:divBdr>
        <w:top w:val="none" w:sz="0" w:space="0" w:color="auto"/>
        <w:left w:val="none" w:sz="0" w:space="0" w:color="auto"/>
        <w:bottom w:val="none" w:sz="0" w:space="0" w:color="auto"/>
        <w:right w:val="none" w:sz="0" w:space="0" w:color="auto"/>
      </w:divBdr>
    </w:div>
    <w:div w:id="27419092">
      <w:bodyDiv w:val="1"/>
      <w:marLeft w:val="0"/>
      <w:marRight w:val="0"/>
      <w:marTop w:val="0"/>
      <w:marBottom w:val="0"/>
      <w:divBdr>
        <w:top w:val="none" w:sz="0" w:space="0" w:color="auto"/>
        <w:left w:val="none" w:sz="0" w:space="0" w:color="auto"/>
        <w:bottom w:val="none" w:sz="0" w:space="0" w:color="auto"/>
        <w:right w:val="none" w:sz="0" w:space="0" w:color="auto"/>
      </w:divBdr>
    </w:div>
    <w:div w:id="38475941">
      <w:bodyDiv w:val="1"/>
      <w:marLeft w:val="0"/>
      <w:marRight w:val="0"/>
      <w:marTop w:val="0"/>
      <w:marBottom w:val="0"/>
      <w:divBdr>
        <w:top w:val="none" w:sz="0" w:space="0" w:color="auto"/>
        <w:left w:val="none" w:sz="0" w:space="0" w:color="auto"/>
        <w:bottom w:val="none" w:sz="0" w:space="0" w:color="auto"/>
        <w:right w:val="none" w:sz="0" w:space="0" w:color="auto"/>
      </w:divBdr>
    </w:div>
    <w:div w:id="45378063">
      <w:bodyDiv w:val="1"/>
      <w:marLeft w:val="0"/>
      <w:marRight w:val="0"/>
      <w:marTop w:val="0"/>
      <w:marBottom w:val="0"/>
      <w:divBdr>
        <w:top w:val="none" w:sz="0" w:space="0" w:color="auto"/>
        <w:left w:val="none" w:sz="0" w:space="0" w:color="auto"/>
        <w:bottom w:val="none" w:sz="0" w:space="0" w:color="auto"/>
        <w:right w:val="none" w:sz="0" w:space="0" w:color="auto"/>
      </w:divBdr>
    </w:div>
    <w:div w:id="48695289">
      <w:bodyDiv w:val="1"/>
      <w:marLeft w:val="0"/>
      <w:marRight w:val="0"/>
      <w:marTop w:val="0"/>
      <w:marBottom w:val="0"/>
      <w:divBdr>
        <w:top w:val="none" w:sz="0" w:space="0" w:color="auto"/>
        <w:left w:val="none" w:sz="0" w:space="0" w:color="auto"/>
        <w:bottom w:val="none" w:sz="0" w:space="0" w:color="auto"/>
        <w:right w:val="none" w:sz="0" w:space="0" w:color="auto"/>
      </w:divBdr>
    </w:div>
    <w:div w:id="56634099">
      <w:bodyDiv w:val="1"/>
      <w:marLeft w:val="0"/>
      <w:marRight w:val="0"/>
      <w:marTop w:val="0"/>
      <w:marBottom w:val="0"/>
      <w:divBdr>
        <w:top w:val="none" w:sz="0" w:space="0" w:color="auto"/>
        <w:left w:val="none" w:sz="0" w:space="0" w:color="auto"/>
        <w:bottom w:val="none" w:sz="0" w:space="0" w:color="auto"/>
        <w:right w:val="none" w:sz="0" w:space="0" w:color="auto"/>
      </w:divBdr>
    </w:div>
    <w:div w:id="60177413">
      <w:bodyDiv w:val="1"/>
      <w:marLeft w:val="0"/>
      <w:marRight w:val="0"/>
      <w:marTop w:val="0"/>
      <w:marBottom w:val="0"/>
      <w:divBdr>
        <w:top w:val="none" w:sz="0" w:space="0" w:color="auto"/>
        <w:left w:val="none" w:sz="0" w:space="0" w:color="auto"/>
        <w:bottom w:val="none" w:sz="0" w:space="0" w:color="auto"/>
        <w:right w:val="none" w:sz="0" w:space="0" w:color="auto"/>
      </w:divBdr>
    </w:div>
    <w:div w:id="65804358">
      <w:bodyDiv w:val="1"/>
      <w:marLeft w:val="0"/>
      <w:marRight w:val="0"/>
      <w:marTop w:val="0"/>
      <w:marBottom w:val="0"/>
      <w:divBdr>
        <w:top w:val="none" w:sz="0" w:space="0" w:color="auto"/>
        <w:left w:val="none" w:sz="0" w:space="0" w:color="auto"/>
        <w:bottom w:val="none" w:sz="0" w:space="0" w:color="auto"/>
        <w:right w:val="none" w:sz="0" w:space="0" w:color="auto"/>
      </w:divBdr>
    </w:div>
    <w:div w:id="74667659">
      <w:bodyDiv w:val="1"/>
      <w:marLeft w:val="0"/>
      <w:marRight w:val="0"/>
      <w:marTop w:val="0"/>
      <w:marBottom w:val="0"/>
      <w:divBdr>
        <w:top w:val="none" w:sz="0" w:space="0" w:color="auto"/>
        <w:left w:val="none" w:sz="0" w:space="0" w:color="auto"/>
        <w:bottom w:val="none" w:sz="0" w:space="0" w:color="auto"/>
        <w:right w:val="none" w:sz="0" w:space="0" w:color="auto"/>
      </w:divBdr>
    </w:div>
    <w:div w:id="87699949">
      <w:bodyDiv w:val="1"/>
      <w:marLeft w:val="0"/>
      <w:marRight w:val="0"/>
      <w:marTop w:val="0"/>
      <w:marBottom w:val="0"/>
      <w:divBdr>
        <w:top w:val="none" w:sz="0" w:space="0" w:color="auto"/>
        <w:left w:val="none" w:sz="0" w:space="0" w:color="auto"/>
        <w:bottom w:val="none" w:sz="0" w:space="0" w:color="auto"/>
        <w:right w:val="none" w:sz="0" w:space="0" w:color="auto"/>
      </w:divBdr>
    </w:div>
    <w:div w:id="105467021">
      <w:bodyDiv w:val="1"/>
      <w:marLeft w:val="0"/>
      <w:marRight w:val="0"/>
      <w:marTop w:val="0"/>
      <w:marBottom w:val="0"/>
      <w:divBdr>
        <w:top w:val="none" w:sz="0" w:space="0" w:color="auto"/>
        <w:left w:val="none" w:sz="0" w:space="0" w:color="auto"/>
        <w:bottom w:val="none" w:sz="0" w:space="0" w:color="auto"/>
        <w:right w:val="none" w:sz="0" w:space="0" w:color="auto"/>
      </w:divBdr>
    </w:div>
    <w:div w:id="105514589">
      <w:bodyDiv w:val="1"/>
      <w:marLeft w:val="0"/>
      <w:marRight w:val="0"/>
      <w:marTop w:val="0"/>
      <w:marBottom w:val="0"/>
      <w:divBdr>
        <w:top w:val="none" w:sz="0" w:space="0" w:color="auto"/>
        <w:left w:val="none" w:sz="0" w:space="0" w:color="auto"/>
        <w:bottom w:val="none" w:sz="0" w:space="0" w:color="auto"/>
        <w:right w:val="none" w:sz="0" w:space="0" w:color="auto"/>
      </w:divBdr>
    </w:div>
    <w:div w:id="107891213">
      <w:bodyDiv w:val="1"/>
      <w:marLeft w:val="0"/>
      <w:marRight w:val="0"/>
      <w:marTop w:val="0"/>
      <w:marBottom w:val="0"/>
      <w:divBdr>
        <w:top w:val="none" w:sz="0" w:space="0" w:color="auto"/>
        <w:left w:val="none" w:sz="0" w:space="0" w:color="auto"/>
        <w:bottom w:val="none" w:sz="0" w:space="0" w:color="auto"/>
        <w:right w:val="none" w:sz="0" w:space="0" w:color="auto"/>
      </w:divBdr>
    </w:div>
    <w:div w:id="108593935">
      <w:bodyDiv w:val="1"/>
      <w:marLeft w:val="0"/>
      <w:marRight w:val="0"/>
      <w:marTop w:val="0"/>
      <w:marBottom w:val="0"/>
      <w:divBdr>
        <w:top w:val="none" w:sz="0" w:space="0" w:color="auto"/>
        <w:left w:val="none" w:sz="0" w:space="0" w:color="auto"/>
        <w:bottom w:val="none" w:sz="0" w:space="0" w:color="auto"/>
        <w:right w:val="none" w:sz="0" w:space="0" w:color="auto"/>
      </w:divBdr>
    </w:div>
    <w:div w:id="116028436">
      <w:bodyDiv w:val="1"/>
      <w:marLeft w:val="0"/>
      <w:marRight w:val="0"/>
      <w:marTop w:val="0"/>
      <w:marBottom w:val="0"/>
      <w:divBdr>
        <w:top w:val="none" w:sz="0" w:space="0" w:color="auto"/>
        <w:left w:val="none" w:sz="0" w:space="0" w:color="auto"/>
        <w:bottom w:val="none" w:sz="0" w:space="0" w:color="auto"/>
        <w:right w:val="none" w:sz="0" w:space="0" w:color="auto"/>
      </w:divBdr>
    </w:div>
    <w:div w:id="119108076">
      <w:bodyDiv w:val="1"/>
      <w:marLeft w:val="0"/>
      <w:marRight w:val="0"/>
      <w:marTop w:val="0"/>
      <w:marBottom w:val="0"/>
      <w:divBdr>
        <w:top w:val="none" w:sz="0" w:space="0" w:color="auto"/>
        <w:left w:val="none" w:sz="0" w:space="0" w:color="auto"/>
        <w:bottom w:val="none" w:sz="0" w:space="0" w:color="auto"/>
        <w:right w:val="none" w:sz="0" w:space="0" w:color="auto"/>
      </w:divBdr>
    </w:div>
    <w:div w:id="121265257">
      <w:bodyDiv w:val="1"/>
      <w:marLeft w:val="0"/>
      <w:marRight w:val="0"/>
      <w:marTop w:val="0"/>
      <w:marBottom w:val="0"/>
      <w:divBdr>
        <w:top w:val="none" w:sz="0" w:space="0" w:color="auto"/>
        <w:left w:val="none" w:sz="0" w:space="0" w:color="auto"/>
        <w:bottom w:val="none" w:sz="0" w:space="0" w:color="auto"/>
        <w:right w:val="none" w:sz="0" w:space="0" w:color="auto"/>
      </w:divBdr>
    </w:div>
    <w:div w:id="133719634">
      <w:bodyDiv w:val="1"/>
      <w:marLeft w:val="0"/>
      <w:marRight w:val="0"/>
      <w:marTop w:val="0"/>
      <w:marBottom w:val="0"/>
      <w:divBdr>
        <w:top w:val="none" w:sz="0" w:space="0" w:color="auto"/>
        <w:left w:val="none" w:sz="0" w:space="0" w:color="auto"/>
        <w:bottom w:val="none" w:sz="0" w:space="0" w:color="auto"/>
        <w:right w:val="none" w:sz="0" w:space="0" w:color="auto"/>
      </w:divBdr>
    </w:div>
    <w:div w:id="136656094">
      <w:bodyDiv w:val="1"/>
      <w:marLeft w:val="0"/>
      <w:marRight w:val="0"/>
      <w:marTop w:val="0"/>
      <w:marBottom w:val="0"/>
      <w:divBdr>
        <w:top w:val="none" w:sz="0" w:space="0" w:color="auto"/>
        <w:left w:val="none" w:sz="0" w:space="0" w:color="auto"/>
        <w:bottom w:val="none" w:sz="0" w:space="0" w:color="auto"/>
        <w:right w:val="none" w:sz="0" w:space="0" w:color="auto"/>
      </w:divBdr>
    </w:div>
    <w:div w:id="144863616">
      <w:bodyDiv w:val="1"/>
      <w:marLeft w:val="0"/>
      <w:marRight w:val="0"/>
      <w:marTop w:val="0"/>
      <w:marBottom w:val="0"/>
      <w:divBdr>
        <w:top w:val="none" w:sz="0" w:space="0" w:color="auto"/>
        <w:left w:val="none" w:sz="0" w:space="0" w:color="auto"/>
        <w:bottom w:val="none" w:sz="0" w:space="0" w:color="auto"/>
        <w:right w:val="none" w:sz="0" w:space="0" w:color="auto"/>
      </w:divBdr>
    </w:div>
    <w:div w:id="149752771">
      <w:bodyDiv w:val="1"/>
      <w:marLeft w:val="0"/>
      <w:marRight w:val="0"/>
      <w:marTop w:val="0"/>
      <w:marBottom w:val="0"/>
      <w:divBdr>
        <w:top w:val="none" w:sz="0" w:space="0" w:color="auto"/>
        <w:left w:val="none" w:sz="0" w:space="0" w:color="auto"/>
        <w:bottom w:val="none" w:sz="0" w:space="0" w:color="auto"/>
        <w:right w:val="none" w:sz="0" w:space="0" w:color="auto"/>
      </w:divBdr>
    </w:div>
    <w:div w:id="161555651">
      <w:bodyDiv w:val="1"/>
      <w:marLeft w:val="0"/>
      <w:marRight w:val="0"/>
      <w:marTop w:val="0"/>
      <w:marBottom w:val="0"/>
      <w:divBdr>
        <w:top w:val="none" w:sz="0" w:space="0" w:color="auto"/>
        <w:left w:val="none" w:sz="0" w:space="0" w:color="auto"/>
        <w:bottom w:val="none" w:sz="0" w:space="0" w:color="auto"/>
        <w:right w:val="none" w:sz="0" w:space="0" w:color="auto"/>
      </w:divBdr>
    </w:div>
    <w:div w:id="163861505">
      <w:bodyDiv w:val="1"/>
      <w:marLeft w:val="0"/>
      <w:marRight w:val="0"/>
      <w:marTop w:val="0"/>
      <w:marBottom w:val="0"/>
      <w:divBdr>
        <w:top w:val="none" w:sz="0" w:space="0" w:color="auto"/>
        <w:left w:val="none" w:sz="0" w:space="0" w:color="auto"/>
        <w:bottom w:val="none" w:sz="0" w:space="0" w:color="auto"/>
        <w:right w:val="none" w:sz="0" w:space="0" w:color="auto"/>
      </w:divBdr>
    </w:div>
    <w:div w:id="179705293">
      <w:bodyDiv w:val="1"/>
      <w:marLeft w:val="0"/>
      <w:marRight w:val="0"/>
      <w:marTop w:val="0"/>
      <w:marBottom w:val="0"/>
      <w:divBdr>
        <w:top w:val="none" w:sz="0" w:space="0" w:color="auto"/>
        <w:left w:val="none" w:sz="0" w:space="0" w:color="auto"/>
        <w:bottom w:val="none" w:sz="0" w:space="0" w:color="auto"/>
        <w:right w:val="none" w:sz="0" w:space="0" w:color="auto"/>
      </w:divBdr>
    </w:div>
    <w:div w:id="183399318">
      <w:bodyDiv w:val="1"/>
      <w:marLeft w:val="0"/>
      <w:marRight w:val="0"/>
      <w:marTop w:val="0"/>
      <w:marBottom w:val="0"/>
      <w:divBdr>
        <w:top w:val="none" w:sz="0" w:space="0" w:color="auto"/>
        <w:left w:val="none" w:sz="0" w:space="0" w:color="auto"/>
        <w:bottom w:val="none" w:sz="0" w:space="0" w:color="auto"/>
        <w:right w:val="none" w:sz="0" w:space="0" w:color="auto"/>
      </w:divBdr>
    </w:div>
    <w:div w:id="189996990">
      <w:bodyDiv w:val="1"/>
      <w:marLeft w:val="0"/>
      <w:marRight w:val="0"/>
      <w:marTop w:val="0"/>
      <w:marBottom w:val="0"/>
      <w:divBdr>
        <w:top w:val="none" w:sz="0" w:space="0" w:color="auto"/>
        <w:left w:val="none" w:sz="0" w:space="0" w:color="auto"/>
        <w:bottom w:val="none" w:sz="0" w:space="0" w:color="auto"/>
        <w:right w:val="none" w:sz="0" w:space="0" w:color="auto"/>
      </w:divBdr>
    </w:div>
    <w:div w:id="204484444">
      <w:bodyDiv w:val="1"/>
      <w:marLeft w:val="0"/>
      <w:marRight w:val="0"/>
      <w:marTop w:val="0"/>
      <w:marBottom w:val="0"/>
      <w:divBdr>
        <w:top w:val="none" w:sz="0" w:space="0" w:color="auto"/>
        <w:left w:val="none" w:sz="0" w:space="0" w:color="auto"/>
        <w:bottom w:val="none" w:sz="0" w:space="0" w:color="auto"/>
        <w:right w:val="none" w:sz="0" w:space="0" w:color="auto"/>
      </w:divBdr>
    </w:div>
    <w:div w:id="205607986">
      <w:bodyDiv w:val="1"/>
      <w:marLeft w:val="0"/>
      <w:marRight w:val="0"/>
      <w:marTop w:val="0"/>
      <w:marBottom w:val="0"/>
      <w:divBdr>
        <w:top w:val="none" w:sz="0" w:space="0" w:color="auto"/>
        <w:left w:val="none" w:sz="0" w:space="0" w:color="auto"/>
        <w:bottom w:val="none" w:sz="0" w:space="0" w:color="auto"/>
        <w:right w:val="none" w:sz="0" w:space="0" w:color="auto"/>
      </w:divBdr>
    </w:div>
    <w:div w:id="210264398">
      <w:bodyDiv w:val="1"/>
      <w:marLeft w:val="0"/>
      <w:marRight w:val="0"/>
      <w:marTop w:val="0"/>
      <w:marBottom w:val="0"/>
      <w:divBdr>
        <w:top w:val="none" w:sz="0" w:space="0" w:color="auto"/>
        <w:left w:val="none" w:sz="0" w:space="0" w:color="auto"/>
        <w:bottom w:val="none" w:sz="0" w:space="0" w:color="auto"/>
        <w:right w:val="none" w:sz="0" w:space="0" w:color="auto"/>
      </w:divBdr>
    </w:div>
    <w:div w:id="210927125">
      <w:bodyDiv w:val="1"/>
      <w:marLeft w:val="0"/>
      <w:marRight w:val="0"/>
      <w:marTop w:val="0"/>
      <w:marBottom w:val="0"/>
      <w:divBdr>
        <w:top w:val="none" w:sz="0" w:space="0" w:color="auto"/>
        <w:left w:val="none" w:sz="0" w:space="0" w:color="auto"/>
        <w:bottom w:val="none" w:sz="0" w:space="0" w:color="auto"/>
        <w:right w:val="none" w:sz="0" w:space="0" w:color="auto"/>
      </w:divBdr>
    </w:div>
    <w:div w:id="212041237">
      <w:bodyDiv w:val="1"/>
      <w:marLeft w:val="0"/>
      <w:marRight w:val="0"/>
      <w:marTop w:val="0"/>
      <w:marBottom w:val="0"/>
      <w:divBdr>
        <w:top w:val="none" w:sz="0" w:space="0" w:color="auto"/>
        <w:left w:val="none" w:sz="0" w:space="0" w:color="auto"/>
        <w:bottom w:val="none" w:sz="0" w:space="0" w:color="auto"/>
        <w:right w:val="none" w:sz="0" w:space="0" w:color="auto"/>
      </w:divBdr>
    </w:div>
    <w:div w:id="213783620">
      <w:bodyDiv w:val="1"/>
      <w:marLeft w:val="0"/>
      <w:marRight w:val="0"/>
      <w:marTop w:val="0"/>
      <w:marBottom w:val="0"/>
      <w:divBdr>
        <w:top w:val="none" w:sz="0" w:space="0" w:color="auto"/>
        <w:left w:val="none" w:sz="0" w:space="0" w:color="auto"/>
        <w:bottom w:val="none" w:sz="0" w:space="0" w:color="auto"/>
        <w:right w:val="none" w:sz="0" w:space="0" w:color="auto"/>
      </w:divBdr>
    </w:div>
    <w:div w:id="214858826">
      <w:bodyDiv w:val="1"/>
      <w:marLeft w:val="0"/>
      <w:marRight w:val="0"/>
      <w:marTop w:val="0"/>
      <w:marBottom w:val="0"/>
      <w:divBdr>
        <w:top w:val="none" w:sz="0" w:space="0" w:color="auto"/>
        <w:left w:val="none" w:sz="0" w:space="0" w:color="auto"/>
        <w:bottom w:val="none" w:sz="0" w:space="0" w:color="auto"/>
        <w:right w:val="none" w:sz="0" w:space="0" w:color="auto"/>
      </w:divBdr>
    </w:div>
    <w:div w:id="230770566">
      <w:bodyDiv w:val="1"/>
      <w:marLeft w:val="0"/>
      <w:marRight w:val="0"/>
      <w:marTop w:val="0"/>
      <w:marBottom w:val="0"/>
      <w:divBdr>
        <w:top w:val="none" w:sz="0" w:space="0" w:color="auto"/>
        <w:left w:val="none" w:sz="0" w:space="0" w:color="auto"/>
        <w:bottom w:val="none" w:sz="0" w:space="0" w:color="auto"/>
        <w:right w:val="none" w:sz="0" w:space="0" w:color="auto"/>
      </w:divBdr>
    </w:div>
    <w:div w:id="235021751">
      <w:bodyDiv w:val="1"/>
      <w:marLeft w:val="0"/>
      <w:marRight w:val="0"/>
      <w:marTop w:val="0"/>
      <w:marBottom w:val="0"/>
      <w:divBdr>
        <w:top w:val="none" w:sz="0" w:space="0" w:color="auto"/>
        <w:left w:val="none" w:sz="0" w:space="0" w:color="auto"/>
        <w:bottom w:val="none" w:sz="0" w:space="0" w:color="auto"/>
        <w:right w:val="none" w:sz="0" w:space="0" w:color="auto"/>
      </w:divBdr>
    </w:div>
    <w:div w:id="247036687">
      <w:bodyDiv w:val="1"/>
      <w:marLeft w:val="0"/>
      <w:marRight w:val="0"/>
      <w:marTop w:val="0"/>
      <w:marBottom w:val="0"/>
      <w:divBdr>
        <w:top w:val="none" w:sz="0" w:space="0" w:color="auto"/>
        <w:left w:val="none" w:sz="0" w:space="0" w:color="auto"/>
        <w:bottom w:val="none" w:sz="0" w:space="0" w:color="auto"/>
        <w:right w:val="none" w:sz="0" w:space="0" w:color="auto"/>
      </w:divBdr>
    </w:div>
    <w:div w:id="251549710">
      <w:bodyDiv w:val="1"/>
      <w:marLeft w:val="0"/>
      <w:marRight w:val="0"/>
      <w:marTop w:val="0"/>
      <w:marBottom w:val="0"/>
      <w:divBdr>
        <w:top w:val="none" w:sz="0" w:space="0" w:color="auto"/>
        <w:left w:val="none" w:sz="0" w:space="0" w:color="auto"/>
        <w:bottom w:val="none" w:sz="0" w:space="0" w:color="auto"/>
        <w:right w:val="none" w:sz="0" w:space="0" w:color="auto"/>
      </w:divBdr>
    </w:div>
    <w:div w:id="252975938">
      <w:bodyDiv w:val="1"/>
      <w:marLeft w:val="0"/>
      <w:marRight w:val="0"/>
      <w:marTop w:val="0"/>
      <w:marBottom w:val="0"/>
      <w:divBdr>
        <w:top w:val="none" w:sz="0" w:space="0" w:color="auto"/>
        <w:left w:val="none" w:sz="0" w:space="0" w:color="auto"/>
        <w:bottom w:val="none" w:sz="0" w:space="0" w:color="auto"/>
        <w:right w:val="none" w:sz="0" w:space="0" w:color="auto"/>
      </w:divBdr>
    </w:div>
    <w:div w:id="265115647">
      <w:bodyDiv w:val="1"/>
      <w:marLeft w:val="0"/>
      <w:marRight w:val="0"/>
      <w:marTop w:val="0"/>
      <w:marBottom w:val="0"/>
      <w:divBdr>
        <w:top w:val="none" w:sz="0" w:space="0" w:color="auto"/>
        <w:left w:val="none" w:sz="0" w:space="0" w:color="auto"/>
        <w:bottom w:val="none" w:sz="0" w:space="0" w:color="auto"/>
        <w:right w:val="none" w:sz="0" w:space="0" w:color="auto"/>
      </w:divBdr>
    </w:div>
    <w:div w:id="270818370">
      <w:bodyDiv w:val="1"/>
      <w:marLeft w:val="0"/>
      <w:marRight w:val="0"/>
      <w:marTop w:val="0"/>
      <w:marBottom w:val="0"/>
      <w:divBdr>
        <w:top w:val="none" w:sz="0" w:space="0" w:color="auto"/>
        <w:left w:val="none" w:sz="0" w:space="0" w:color="auto"/>
        <w:bottom w:val="none" w:sz="0" w:space="0" w:color="auto"/>
        <w:right w:val="none" w:sz="0" w:space="0" w:color="auto"/>
      </w:divBdr>
    </w:div>
    <w:div w:id="273757056">
      <w:bodyDiv w:val="1"/>
      <w:marLeft w:val="0"/>
      <w:marRight w:val="0"/>
      <w:marTop w:val="0"/>
      <w:marBottom w:val="0"/>
      <w:divBdr>
        <w:top w:val="none" w:sz="0" w:space="0" w:color="auto"/>
        <w:left w:val="none" w:sz="0" w:space="0" w:color="auto"/>
        <w:bottom w:val="none" w:sz="0" w:space="0" w:color="auto"/>
        <w:right w:val="none" w:sz="0" w:space="0" w:color="auto"/>
      </w:divBdr>
    </w:div>
    <w:div w:id="285355251">
      <w:bodyDiv w:val="1"/>
      <w:marLeft w:val="0"/>
      <w:marRight w:val="0"/>
      <w:marTop w:val="0"/>
      <w:marBottom w:val="0"/>
      <w:divBdr>
        <w:top w:val="none" w:sz="0" w:space="0" w:color="auto"/>
        <w:left w:val="none" w:sz="0" w:space="0" w:color="auto"/>
        <w:bottom w:val="none" w:sz="0" w:space="0" w:color="auto"/>
        <w:right w:val="none" w:sz="0" w:space="0" w:color="auto"/>
      </w:divBdr>
    </w:div>
    <w:div w:id="285815363">
      <w:bodyDiv w:val="1"/>
      <w:marLeft w:val="0"/>
      <w:marRight w:val="0"/>
      <w:marTop w:val="0"/>
      <w:marBottom w:val="0"/>
      <w:divBdr>
        <w:top w:val="none" w:sz="0" w:space="0" w:color="auto"/>
        <w:left w:val="none" w:sz="0" w:space="0" w:color="auto"/>
        <w:bottom w:val="none" w:sz="0" w:space="0" w:color="auto"/>
        <w:right w:val="none" w:sz="0" w:space="0" w:color="auto"/>
      </w:divBdr>
    </w:div>
    <w:div w:id="288585423">
      <w:bodyDiv w:val="1"/>
      <w:marLeft w:val="0"/>
      <w:marRight w:val="0"/>
      <w:marTop w:val="0"/>
      <w:marBottom w:val="0"/>
      <w:divBdr>
        <w:top w:val="none" w:sz="0" w:space="0" w:color="auto"/>
        <w:left w:val="none" w:sz="0" w:space="0" w:color="auto"/>
        <w:bottom w:val="none" w:sz="0" w:space="0" w:color="auto"/>
        <w:right w:val="none" w:sz="0" w:space="0" w:color="auto"/>
      </w:divBdr>
    </w:div>
    <w:div w:id="289285472">
      <w:bodyDiv w:val="1"/>
      <w:marLeft w:val="0"/>
      <w:marRight w:val="0"/>
      <w:marTop w:val="0"/>
      <w:marBottom w:val="0"/>
      <w:divBdr>
        <w:top w:val="none" w:sz="0" w:space="0" w:color="auto"/>
        <w:left w:val="none" w:sz="0" w:space="0" w:color="auto"/>
        <w:bottom w:val="none" w:sz="0" w:space="0" w:color="auto"/>
        <w:right w:val="none" w:sz="0" w:space="0" w:color="auto"/>
      </w:divBdr>
    </w:div>
    <w:div w:id="292449500">
      <w:bodyDiv w:val="1"/>
      <w:marLeft w:val="0"/>
      <w:marRight w:val="0"/>
      <w:marTop w:val="0"/>
      <w:marBottom w:val="0"/>
      <w:divBdr>
        <w:top w:val="none" w:sz="0" w:space="0" w:color="auto"/>
        <w:left w:val="none" w:sz="0" w:space="0" w:color="auto"/>
        <w:bottom w:val="none" w:sz="0" w:space="0" w:color="auto"/>
        <w:right w:val="none" w:sz="0" w:space="0" w:color="auto"/>
      </w:divBdr>
    </w:div>
    <w:div w:id="294063364">
      <w:bodyDiv w:val="1"/>
      <w:marLeft w:val="0"/>
      <w:marRight w:val="0"/>
      <w:marTop w:val="0"/>
      <w:marBottom w:val="0"/>
      <w:divBdr>
        <w:top w:val="none" w:sz="0" w:space="0" w:color="auto"/>
        <w:left w:val="none" w:sz="0" w:space="0" w:color="auto"/>
        <w:bottom w:val="none" w:sz="0" w:space="0" w:color="auto"/>
        <w:right w:val="none" w:sz="0" w:space="0" w:color="auto"/>
      </w:divBdr>
    </w:div>
    <w:div w:id="302539270">
      <w:bodyDiv w:val="1"/>
      <w:marLeft w:val="0"/>
      <w:marRight w:val="0"/>
      <w:marTop w:val="0"/>
      <w:marBottom w:val="0"/>
      <w:divBdr>
        <w:top w:val="none" w:sz="0" w:space="0" w:color="auto"/>
        <w:left w:val="none" w:sz="0" w:space="0" w:color="auto"/>
        <w:bottom w:val="none" w:sz="0" w:space="0" w:color="auto"/>
        <w:right w:val="none" w:sz="0" w:space="0" w:color="auto"/>
      </w:divBdr>
    </w:div>
    <w:div w:id="304512151">
      <w:bodyDiv w:val="1"/>
      <w:marLeft w:val="0"/>
      <w:marRight w:val="0"/>
      <w:marTop w:val="0"/>
      <w:marBottom w:val="0"/>
      <w:divBdr>
        <w:top w:val="none" w:sz="0" w:space="0" w:color="auto"/>
        <w:left w:val="none" w:sz="0" w:space="0" w:color="auto"/>
        <w:bottom w:val="none" w:sz="0" w:space="0" w:color="auto"/>
        <w:right w:val="none" w:sz="0" w:space="0" w:color="auto"/>
      </w:divBdr>
    </w:div>
    <w:div w:id="312176828">
      <w:bodyDiv w:val="1"/>
      <w:marLeft w:val="0"/>
      <w:marRight w:val="0"/>
      <w:marTop w:val="0"/>
      <w:marBottom w:val="0"/>
      <w:divBdr>
        <w:top w:val="none" w:sz="0" w:space="0" w:color="auto"/>
        <w:left w:val="none" w:sz="0" w:space="0" w:color="auto"/>
        <w:bottom w:val="none" w:sz="0" w:space="0" w:color="auto"/>
        <w:right w:val="none" w:sz="0" w:space="0" w:color="auto"/>
      </w:divBdr>
    </w:div>
    <w:div w:id="314918486">
      <w:bodyDiv w:val="1"/>
      <w:marLeft w:val="0"/>
      <w:marRight w:val="0"/>
      <w:marTop w:val="0"/>
      <w:marBottom w:val="0"/>
      <w:divBdr>
        <w:top w:val="none" w:sz="0" w:space="0" w:color="auto"/>
        <w:left w:val="none" w:sz="0" w:space="0" w:color="auto"/>
        <w:bottom w:val="none" w:sz="0" w:space="0" w:color="auto"/>
        <w:right w:val="none" w:sz="0" w:space="0" w:color="auto"/>
      </w:divBdr>
    </w:div>
    <w:div w:id="352534953">
      <w:bodyDiv w:val="1"/>
      <w:marLeft w:val="0"/>
      <w:marRight w:val="0"/>
      <w:marTop w:val="0"/>
      <w:marBottom w:val="0"/>
      <w:divBdr>
        <w:top w:val="none" w:sz="0" w:space="0" w:color="auto"/>
        <w:left w:val="none" w:sz="0" w:space="0" w:color="auto"/>
        <w:bottom w:val="none" w:sz="0" w:space="0" w:color="auto"/>
        <w:right w:val="none" w:sz="0" w:space="0" w:color="auto"/>
      </w:divBdr>
    </w:div>
    <w:div w:id="360135055">
      <w:bodyDiv w:val="1"/>
      <w:marLeft w:val="0"/>
      <w:marRight w:val="0"/>
      <w:marTop w:val="0"/>
      <w:marBottom w:val="0"/>
      <w:divBdr>
        <w:top w:val="none" w:sz="0" w:space="0" w:color="auto"/>
        <w:left w:val="none" w:sz="0" w:space="0" w:color="auto"/>
        <w:bottom w:val="none" w:sz="0" w:space="0" w:color="auto"/>
        <w:right w:val="none" w:sz="0" w:space="0" w:color="auto"/>
      </w:divBdr>
    </w:div>
    <w:div w:id="370039468">
      <w:bodyDiv w:val="1"/>
      <w:marLeft w:val="0"/>
      <w:marRight w:val="0"/>
      <w:marTop w:val="0"/>
      <w:marBottom w:val="0"/>
      <w:divBdr>
        <w:top w:val="none" w:sz="0" w:space="0" w:color="auto"/>
        <w:left w:val="none" w:sz="0" w:space="0" w:color="auto"/>
        <w:bottom w:val="none" w:sz="0" w:space="0" w:color="auto"/>
        <w:right w:val="none" w:sz="0" w:space="0" w:color="auto"/>
      </w:divBdr>
    </w:div>
    <w:div w:id="372266628">
      <w:bodyDiv w:val="1"/>
      <w:marLeft w:val="0"/>
      <w:marRight w:val="0"/>
      <w:marTop w:val="0"/>
      <w:marBottom w:val="0"/>
      <w:divBdr>
        <w:top w:val="none" w:sz="0" w:space="0" w:color="auto"/>
        <w:left w:val="none" w:sz="0" w:space="0" w:color="auto"/>
        <w:bottom w:val="none" w:sz="0" w:space="0" w:color="auto"/>
        <w:right w:val="none" w:sz="0" w:space="0" w:color="auto"/>
      </w:divBdr>
    </w:div>
    <w:div w:id="388843605">
      <w:bodyDiv w:val="1"/>
      <w:marLeft w:val="0"/>
      <w:marRight w:val="0"/>
      <w:marTop w:val="0"/>
      <w:marBottom w:val="0"/>
      <w:divBdr>
        <w:top w:val="none" w:sz="0" w:space="0" w:color="auto"/>
        <w:left w:val="none" w:sz="0" w:space="0" w:color="auto"/>
        <w:bottom w:val="none" w:sz="0" w:space="0" w:color="auto"/>
        <w:right w:val="none" w:sz="0" w:space="0" w:color="auto"/>
      </w:divBdr>
    </w:div>
    <w:div w:id="390346989">
      <w:bodyDiv w:val="1"/>
      <w:marLeft w:val="0"/>
      <w:marRight w:val="0"/>
      <w:marTop w:val="0"/>
      <w:marBottom w:val="0"/>
      <w:divBdr>
        <w:top w:val="none" w:sz="0" w:space="0" w:color="auto"/>
        <w:left w:val="none" w:sz="0" w:space="0" w:color="auto"/>
        <w:bottom w:val="none" w:sz="0" w:space="0" w:color="auto"/>
        <w:right w:val="none" w:sz="0" w:space="0" w:color="auto"/>
      </w:divBdr>
    </w:div>
    <w:div w:id="393161419">
      <w:bodyDiv w:val="1"/>
      <w:marLeft w:val="0"/>
      <w:marRight w:val="0"/>
      <w:marTop w:val="0"/>
      <w:marBottom w:val="0"/>
      <w:divBdr>
        <w:top w:val="none" w:sz="0" w:space="0" w:color="auto"/>
        <w:left w:val="none" w:sz="0" w:space="0" w:color="auto"/>
        <w:bottom w:val="none" w:sz="0" w:space="0" w:color="auto"/>
        <w:right w:val="none" w:sz="0" w:space="0" w:color="auto"/>
      </w:divBdr>
    </w:div>
    <w:div w:id="396973280">
      <w:bodyDiv w:val="1"/>
      <w:marLeft w:val="0"/>
      <w:marRight w:val="0"/>
      <w:marTop w:val="0"/>
      <w:marBottom w:val="0"/>
      <w:divBdr>
        <w:top w:val="none" w:sz="0" w:space="0" w:color="auto"/>
        <w:left w:val="none" w:sz="0" w:space="0" w:color="auto"/>
        <w:bottom w:val="none" w:sz="0" w:space="0" w:color="auto"/>
        <w:right w:val="none" w:sz="0" w:space="0" w:color="auto"/>
      </w:divBdr>
    </w:div>
    <w:div w:id="397635915">
      <w:bodyDiv w:val="1"/>
      <w:marLeft w:val="0"/>
      <w:marRight w:val="0"/>
      <w:marTop w:val="0"/>
      <w:marBottom w:val="0"/>
      <w:divBdr>
        <w:top w:val="none" w:sz="0" w:space="0" w:color="auto"/>
        <w:left w:val="none" w:sz="0" w:space="0" w:color="auto"/>
        <w:bottom w:val="none" w:sz="0" w:space="0" w:color="auto"/>
        <w:right w:val="none" w:sz="0" w:space="0" w:color="auto"/>
      </w:divBdr>
    </w:div>
    <w:div w:id="399792111">
      <w:bodyDiv w:val="1"/>
      <w:marLeft w:val="0"/>
      <w:marRight w:val="0"/>
      <w:marTop w:val="0"/>
      <w:marBottom w:val="0"/>
      <w:divBdr>
        <w:top w:val="none" w:sz="0" w:space="0" w:color="auto"/>
        <w:left w:val="none" w:sz="0" w:space="0" w:color="auto"/>
        <w:bottom w:val="none" w:sz="0" w:space="0" w:color="auto"/>
        <w:right w:val="none" w:sz="0" w:space="0" w:color="auto"/>
      </w:divBdr>
    </w:div>
    <w:div w:id="400443867">
      <w:bodyDiv w:val="1"/>
      <w:marLeft w:val="0"/>
      <w:marRight w:val="0"/>
      <w:marTop w:val="0"/>
      <w:marBottom w:val="0"/>
      <w:divBdr>
        <w:top w:val="none" w:sz="0" w:space="0" w:color="auto"/>
        <w:left w:val="none" w:sz="0" w:space="0" w:color="auto"/>
        <w:bottom w:val="none" w:sz="0" w:space="0" w:color="auto"/>
        <w:right w:val="none" w:sz="0" w:space="0" w:color="auto"/>
      </w:divBdr>
    </w:div>
    <w:div w:id="402803661">
      <w:bodyDiv w:val="1"/>
      <w:marLeft w:val="0"/>
      <w:marRight w:val="0"/>
      <w:marTop w:val="0"/>
      <w:marBottom w:val="0"/>
      <w:divBdr>
        <w:top w:val="none" w:sz="0" w:space="0" w:color="auto"/>
        <w:left w:val="none" w:sz="0" w:space="0" w:color="auto"/>
        <w:bottom w:val="none" w:sz="0" w:space="0" w:color="auto"/>
        <w:right w:val="none" w:sz="0" w:space="0" w:color="auto"/>
      </w:divBdr>
    </w:div>
    <w:div w:id="406149008">
      <w:bodyDiv w:val="1"/>
      <w:marLeft w:val="0"/>
      <w:marRight w:val="0"/>
      <w:marTop w:val="0"/>
      <w:marBottom w:val="0"/>
      <w:divBdr>
        <w:top w:val="none" w:sz="0" w:space="0" w:color="auto"/>
        <w:left w:val="none" w:sz="0" w:space="0" w:color="auto"/>
        <w:bottom w:val="none" w:sz="0" w:space="0" w:color="auto"/>
        <w:right w:val="none" w:sz="0" w:space="0" w:color="auto"/>
      </w:divBdr>
    </w:div>
    <w:div w:id="406926312">
      <w:bodyDiv w:val="1"/>
      <w:marLeft w:val="0"/>
      <w:marRight w:val="0"/>
      <w:marTop w:val="0"/>
      <w:marBottom w:val="0"/>
      <w:divBdr>
        <w:top w:val="none" w:sz="0" w:space="0" w:color="auto"/>
        <w:left w:val="none" w:sz="0" w:space="0" w:color="auto"/>
        <w:bottom w:val="none" w:sz="0" w:space="0" w:color="auto"/>
        <w:right w:val="none" w:sz="0" w:space="0" w:color="auto"/>
      </w:divBdr>
    </w:div>
    <w:div w:id="410470567">
      <w:bodyDiv w:val="1"/>
      <w:marLeft w:val="0"/>
      <w:marRight w:val="0"/>
      <w:marTop w:val="0"/>
      <w:marBottom w:val="0"/>
      <w:divBdr>
        <w:top w:val="none" w:sz="0" w:space="0" w:color="auto"/>
        <w:left w:val="none" w:sz="0" w:space="0" w:color="auto"/>
        <w:bottom w:val="none" w:sz="0" w:space="0" w:color="auto"/>
        <w:right w:val="none" w:sz="0" w:space="0" w:color="auto"/>
      </w:divBdr>
    </w:div>
    <w:div w:id="442458340">
      <w:bodyDiv w:val="1"/>
      <w:marLeft w:val="0"/>
      <w:marRight w:val="0"/>
      <w:marTop w:val="0"/>
      <w:marBottom w:val="0"/>
      <w:divBdr>
        <w:top w:val="none" w:sz="0" w:space="0" w:color="auto"/>
        <w:left w:val="none" w:sz="0" w:space="0" w:color="auto"/>
        <w:bottom w:val="none" w:sz="0" w:space="0" w:color="auto"/>
        <w:right w:val="none" w:sz="0" w:space="0" w:color="auto"/>
      </w:divBdr>
    </w:div>
    <w:div w:id="453601810">
      <w:bodyDiv w:val="1"/>
      <w:marLeft w:val="0"/>
      <w:marRight w:val="0"/>
      <w:marTop w:val="0"/>
      <w:marBottom w:val="0"/>
      <w:divBdr>
        <w:top w:val="none" w:sz="0" w:space="0" w:color="auto"/>
        <w:left w:val="none" w:sz="0" w:space="0" w:color="auto"/>
        <w:bottom w:val="none" w:sz="0" w:space="0" w:color="auto"/>
        <w:right w:val="none" w:sz="0" w:space="0" w:color="auto"/>
      </w:divBdr>
    </w:div>
    <w:div w:id="457332284">
      <w:bodyDiv w:val="1"/>
      <w:marLeft w:val="0"/>
      <w:marRight w:val="0"/>
      <w:marTop w:val="0"/>
      <w:marBottom w:val="0"/>
      <w:divBdr>
        <w:top w:val="none" w:sz="0" w:space="0" w:color="auto"/>
        <w:left w:val="none" w:sz="0" w:space="0" w:color="auto"/>
        <w:bottom w:val="none" w:sz="0" w:space="0" w:color="auto"/>
        <w:right w:val="none" w:sz="0" w:space="0" w:color="auto"/>
      </w:divBdr>
    </w:div>
    <w:div w:id="457916550">
      <w:bodyDiv w:val="1"/>
      <w:marLeft w:val="0"/>
      <w:marRight w:val="0"/>
      <w:marTop w:val="0"/>
      <w:marBottom w:val="0"/>
      <w:divBdr>
        <w:top w:val="none" w:sz="0" w:space="0" w:color="auto"/>
        <w:left w:val="none" w:sz="0" w:space="0" w:color="auto"/>
        <w:bottom w:val="none" w:sz="0" w:space="0" w:color="auto"/>
        <w:right w:val="none" w:sz="0" w:space="0" w:color="auto"/>
      </w:divBdr>
    </w:div>
    <w:div w:id="462844124">
      <w:bodyDiv w:val="1"/>
      <w:marLeft w:val="0"/>
      <w:marRight w:val="0"/>
      <w:marTop w:val="0"/>
      <w:marBottom w:val="0"/>
      <w:divBdr>
        <w:top w:val="none" w:sz="0" w:space="0" w:color="auto"/>
        <w:left w:val="none" w:sz="0" w:space="0" w:color="auto"/>
        <w:bottom w:val="none" w:sz="0" w:space="0" w:color="auto"/>
        <w:right w:val="none" w:sz="0" w:space="0" w:color="auto"/>
      </w:divBdr>
    </w:div>
    <w:div w:id="466819231">
      <w:bodyDiv w:val="1"/>
      <w:marLeft w:val="0"/>
      <w:marRight w:val="0"/>
      <w:marTop w:val="0"/>
      <w:marBottom w:val="0"/>
      <w:divBdr>
        <w:top w:val="none" w:sz="0" w:space="0" w:color="auto"/>
        <w:left w:val="none" w:sz="0" w:space="0" w:color="auto"/>
        <w:bottom w:val="none" w:sz="0" w:space="0" w:color="auto"/>
        <w:right w:val="none" w:sz="0" w:space="0" w:color="auto"/>
      </w:divBdr>
    </w:div>
    <w:div w:id="478575081">
      <w:bodyDiv w:val="1"/>
      <w:marLeft w:val="0"/>
      <w:marRight w:val="0"/>
      <w:marTop w:val="0"/>
      <w:marBottom w:val="0"/>
      <w:divBdr>
        <w:top w:val="none" w:sz="0" w:space="0" w:color="auto"/>
        <w:left w:val="none" w:sz="0" w:space="0" w:color="auto"/>
        <w:bottom w:val="none" w:sz="0" w:space="0" w:color="auto"/>
        <w:right w:val="none" w:sz="0" w:space="0" w:color="auto"/>
      </w:divBdr>
    </w:div>
    <w:div w:id="479035251">
      <w:bodyDiv w:val="1"/>
      <w:marLeft w:val="0"/>
      <w:marRight w:val="0"/>
      <w:marTop w:val="0"/>
      <w:marBottom w:val="0"/>
      <w:divBdr>
        <w:top w:val="none" w:sz="0" w:space="0" w:color="auto"/>
        <w:left w:val="none" w:sz="0" w:space="0" w:color="auto"/>
        <w:bottom w:val="none" w:sz="0" w:space="0" w:color="auto"/>
        <w:right w:val="none" w:sz="0" w:space="0" w:color="auto"/>
      </w:divBdr>
    </w:div>
    <w:div w:id="480999413">
      <w:bodyDiv w:val="1"/>
      <w:marLeft w:val="0"/>
      <w:marRight w:val="0"/>
      <w:marTop w:val="0"/>
      <w:marBottom w:val="0"/>
      <w:divBdr>
        <w:top w:val="none" w:sz="0" w:space="0" w:color="auto"/>
        <w:left w:val="none" w:sz="0" w:space="0" w:color="auto"/>
        <w:bottom w:val="none" w:sz="0" w:space="0" w:color="auto"/>
        <w:right w:val="none" w:sz="0" w:space="0" w:color="auto"/>
      </w:divBdr>
    </w:div>
    <w:div w:id="482428796">
      <w:bodyDiv w:val="1"/>
      <w:marLeft w:val="0"/>
      <w:marRight w:val="0"/>
      <w:marTop w:val="0"/>
      <w:marBottom w:val="0"/>
      <w:divBdr>
        <w:top w:val="none" w:sz="0" w:space="0" w:color="auto"/>
        <w:left w:val="none" w:sz="0" w:space="0" w:color="auto"/>
        <w:bottom w:val="none" w:sz="0" w:space="0" w:color="auto"/>
        <w:right w:val="none" w:sz="0" w:space="0" w:color="auto"/>
      </w:divBdr>
    </w:div>
    <w:div w:id="486283642">
      <w:bodyDiv w:val="1"/>
      <w:marLeft w:val="0"/>
      <w:marRight w:val="0"/>
      <w:marTop w:val="0"/>
      <w:marBottom w:val="0"/>
      <w:divBdr>
        <w:top w:val="none" w:sz="0" w:space="0" w:color="auto"/>
        <w:left w:val="none" w:sz="0" w:space="0" w:color="auto"/>
        <w:bottom w:val="none" w:sz="0" w:space="0" w:color="auto"/>
        <w:right w:val="none" w:sz="0" w:space="0" w:color="auto"/>
      </w:divBdr>
    </w:div>
    <w:div w:id="501169712">
      <w:bodyDiv w:val="1"/>
      <w:marLeft w:val="0"/>
      <w:marRight w:val="0"/>
      <w:marTop w:val="0"/>
      <w:marBottom w:val="0"/>
      <w:divBdr>
        <w:top w:val="none" w:sz="0" w:space="0" w:color="auto"/>
        <w:left w:val="none" w:sz="0" w:space="0" w:color="auto"/>
        <w:bottom w:val="none" w:sz="0" w:space="0" w:color="auto"/>
        <w:right w:val="none" w:sz="0" w:space="0" w:color="auto"/>
      </w:divBdr>
    </w:div>
    <w:div w:id="511377832">
      <w:bodyDiv w:val="1"/>
      <w:marLeft w:val="0"/>
      <w:marRight w:val="0"/>
      <w:marTop w:val="0"/>
      <w:marBottom w:val="0"/>
      <w:divBdr>
        <w:top w:val="none" w:sz="0" w:space="0" w:color="auto"/>
        <w:left w:val="none" w:sz="0" w:space="0" w:color="auto"/>
        <w:bottom w:val="none" w:sz="0" w:space="0" w:color="auto"/>
        <w:right w:val="none" w:sz="0" w:space="0" w:color="auto"/>
      </w:divBdr>
    </w:div>
    <w:div w:id="514612502">
      <w:bodyDiv w:val="1"/>
      <w:marLeft w:val="0"/>
      <w:marRight w:val="0"/>
      <w:marTop w:val="0"/>
      <w:marBottom w:val="0"/>
      <w:divBdr>
        <w:top w:val="none" w:sz="0" w:space="0" w:color="auto"/>
        <w:left w:val="none" w:sz="0" w:space="0" w:color="auto"/>
        <w:bottom w:val="none" w:sz="0" w:space="0" w:color="auto"/>
        <w:right w:val="none" w:sz="0" w:space="0" w:color="auto"/>
      </w:divBdr>
    </w:div>
    <w:div w:id="519129327">
      <w:bodyDiv w:val="1"/>
      <w:marLeft w:val="0"/>
      <w:marRight w:val="0"/>
      <w:marTop w:val="0"/>
      <w:marBottom w:val="0"/>
      <w:divBdr>
        <w:top w:val="none" w:sz="0" w:space="0" w:color="auto"/>
        <w:left w:val="none" w:sz="0" w:space="0" w:color="auto"/>
        <w:bottom w:val="none" w:sz="0" w:space="0" w:color="auto"/>
        <w:right w:val="none" w:sz="0" w:space="0" w:color="auto"/>
      </w:divBdr>
    </w:div>
    <w:div w:id="530919330">
      <w:bodyDiv w:val="1"/>
      <w:marLeft w:val="0"/>
      <w:marRight w:val="0"/>
      <w:marTop w:val="0"/>
      <w:marBottom w:val="0"/>
      <w:divBdr>
        <w:top w:val="none" w:sz="0" w:space="0" w:color="auto"/>
        <w:left w:val="none" w:sz="0" w:space="0" w:color="auto"/>
        <w:bottom w:val="none" w:sz="0" w:space="0" w:color="auto"/>
        <w:right w:val="none" w:sz="0" w:space="0" w:color="auto"/>
      </w:divBdr>
    </w:div>
    <w:div w:id="534317246">
      <w:bodyDiv w:val="1"/>
      <w:marLeft w:val="0"/>
      <w:marRight w:val="0"/>
      <w:marTop w:val="0"/>
      <w:marBottom w:val="0"/>
      <w:divBdr>
        <w:top w:val="none" w:sz="0" w:space="0" w:color="auto"/>
        <w:left w:val="none" w:sz="0" w:space="0" w:color="auto"/>
        <w:bottom w:val="none" w:sz="0" w:space="0" w:color="auto"/>
        <w:right w:val="none" w:sz="0" w:space="0" w:color="auto"/>
      </w:divBdr>
    </w:div>
    <w:div w:id="539244977">
      <w:bodyDiv w:val="1"/>
      <w:marLeft w:val="0"/>
      <w:marRight w:val="0"/>
      <w:marTop w:val="0"/>
      <w:marBottom w:val="0"/>
      <w:divBdr>
        <w:top w:val="none" w:sz="0" w:space="0" w:color="auto"/>
        <w:left w:val="none" w:sz="0" w:space="0" w:color="auto"/>
        <w:bottom w:val="none" w:sz="0" w:space="0" w:color="auto"/>
        <w:right w:val="none" w:sz="0" w:space="0" w:color="auto"/>
      </w:divBdr>
    </w:div>
    <w:div w:id="547494766">
      <w:bodyDiv w:val="1"/>
      <w:marLeft w:val="0"/>
      <w:marRight w:val="0"/>
      <w:marTop w:val="0"/>
      <w:marBottom w:val="0"/>
      <w:divBdr>
        <w:top w:val="none" w:sz="0" w:space="0" w:color="auto"/>
        <w:left w:val="none" w:sz="0" w:space="0" w:color="auto"/>
        <w:bottom w:val="none" w:sz="0" w:space="0" w:color="auto"/>
        <w:right w:val="none" w:sz="0" w:space="0" w:color="auto"/>
      </w:divBdr>
    </w:div>
    <w:div w:id="551962058">
      <w:bodyDiv w:val="1"/>
      <w:marLeft w:val="0"/>
      <w:marRight w:val="0"/>
      <w:marTop w:val="0"/>
      <w:marBottom w:val="0"/>
      <w:divBdr>
        <w:top w:val="none" w:sz="0" w:space="0" w:color="auto"/>
        <w:left w:val="none" w:sz="0" w:space="0" w:color="auto"/>
        <w:bottom w:val="none" w:sz="0" w:space="0" w:color="auto"/>
        <w:right w:val="none" w:sz="0" w:space="0" w:color="auto"/>
      </w:divBdr>
    </w:div>
    <w:div w:id="562987001">
      <w:bodyDiv w:val="1"/>
      <w:marLeft w:val="0"/>
      <w:marRight w:val="0"/>
      <w:marTop w:val="0"/>
      <w:marBottom w:val="0"/>
      <w:divBdr>
        <w:top w:val="none" w:sz="0" w:space="0" w:color="auto"/>
        <w:left w:val="none" w:sz="0" w:space="0" w:color="auto"/>
        <w:bottom w:val="none" w:sz="0" w:space="0" w:color="auto"/>
        <w:right w:val="none" w:sz="0" w:space="0" w:color="auto"/>
      </w:divBdr>
    </w:div>
    <w:div w:id="567377084">
      <w:bodyDiv w:val="1"/>
      <w:marLeft w:val="0"/>
      <w:marRight w:val="0"/>
      <w:marTop w:val="0"/>
      <w:marBottom w:val="0"/>
      <w:divBdr>
        <w:top w:val="none" w:sz="0" w:space="0" w:color="auto"/>
        <w:left w:val="none" w:sz="0" w:space="0" w:color="auto"/>
        <w:bottom w:val="none" w:sz="0" w:space="0" w:color="auto"/>
        <w:right w:val="none" w:sz="0" w:space="0" w:color="auto"/>
      </w:divBdr>
    </w:div>
    <w:div w:id="569079831">
      <w:bodyDiv w:val="1"/>
      <w:marLeft w:val="0"/>
      <w:marRight w:val="0"/>
      <w:marTop w:val="0"/>
      <w:marBottom w:val="0"/>
      <w:divBdr>
        <w:top w:val="none" w:sz="0" w:space="0" w:color="auto"/>
        <w:left w:val="none" w:sz="0" w:space="0" w:color="auto"/>
        <w:bottom w:val="none" w:sz="0" w:space="0" w:color="auto"/>
        <w:right w:val="none" w:sz="0" w:space="0" w:color="auto"/>
      </w:divBdr>
    </w:div>
    <w:div w:id="573707670">
      <w:bodyDiv w:val="1"/>
      <w:marLeft w:val="0"/>
      <w:marRight w:val="0"/>
      <w:marTop w:val="0"/>
      <w:marBottom w:val="0"/>
      <w:divBdr>
        <w:top w:val="none" w:sz="0" w:space="0" w:color="auto"/>
        <w:left w:val="none" w:sz="0" w:space="0" w:color="auto"/>
        <w:bottom w:val="none" w:sz="0" w:space="0" w:color="auto"/>
        <w:right w:val="none" w:sz="0" w:space="0" w:color="auto"/>
      </w:divBdr>
    </w:div>
    <w:div w:id="591160442">
      <w:bodyDiv w:val="1"/>
      <w:marLeft w:val="0"/>
      <w:marRight w:val="0"/>
      <w:marTop w:val="0"/>
      <w:marBottom w:val="0"/>
      <w:divBdr>
        <w:top w:val="none" w:sz="0" w:space="0" w:color="auto"/>
        <w:left w:val="none" w:sz="0" w:space="0" w:color="auto"/>
        <w:bottom w:val="none" w:sz="0" w:space="0" w:color="auto"/>
        <w:right w:val="none" w:sz="0" w:space="0" w:color="auto"/>
      </w:divBdr>
    </w:div>
    <w:div w:id="591938382">
      <w:bodyDiv w:val="1"/>
      <w:marLeft w:val="0"/>
      <w:marRight w:val="0"/>
      <w:marTop w:val="0"/>
      <w:marBottom w:val="0"/>
      <w:divBdr>
        <w:top w:val="none" w:sz="0" w:space="0" w:color="auto"/>
        <w:left w:val="none" w:sz="0" w:space="0" w:color="auto"/>
        <w:bottom w:val="none" w:sz="0" w:space="0" w:color="auto"/>
        <w:right w:val="none" w:sz="0" w:space="0" w:color="auto"/>
      </w:divBdr>
    </w:div>
    <w:div w:id="596985598">
      <w:bodyDiv w:val="1"/>
      <w:marLeft w:val="0"/>
      <w:marRight w:val="0"/>
      <w:marTop w:val="0"/>
      <w:marBottom w:val="0"/>
      <w:divBdr>
        <w:top w:val="none" w:sz="0" w:space="0" w:color="auto"/>
        <w:left w:val="none" w:sz="0" w:space="0" w:color="auto"/>
        <w:bottom w:val="none" w:sz="0" w:space="0" w:color="auto"/>
        <w:right w:val="none" w:sz="0" w:space="0" w:color="auto"/>
      </w:divBdr>
    </w:div>
    <w:div w:id="612904119">
      <w:bodyDiv w:val="1"/>
      <w:marLeft w:val="0"/>
      <w:marRight w:val="0"/>
      <w:marTop w:val="0"/>
      <w:marBottom w:val="0"/>
      <w:divBdr>
        <w:top w:val="none" w:sz="0" w:space="0" w:color="auto"/>
        <w:left w:val="none" w:sz="0" w:space="0" w:color="auto"/>
        <w:bottom w:val="none" w:sz="0" w:space="0" w:color="auto"/>
        <w:right w:val="none" w:sz="0" w:space="0" w:color="auto"/>
      </w:divBdr>
    </w:div>
    <w:div w:id="617034310">
      <w:bodyDiv w:val="1"/>
      <w:marLeft w:val="0"/>
      <w:marRight w:val="0"/>
      <w:marTop w:val="0"/>
      <w:marBottom w:val="0"/>
      <w:divBdr>
        <w:top w:val="none" w:sz="0" w:space="0" w:color="auto"/>
        <w:left w:val="none" w:sz="0" w:space="0" w:color="auto"/>
        <w:bottom w:val="none" w:sz="0" w:space="0" w:color="auto"/>
        <w:right w:val="none" w:sz="0" w:space="0" w:color="auto"/>
      </w:divBdr>
    </w:div>
    <w:div w:id="629939112">
      <w:bodyDiv w:val="1"/>
      <w:marLeft w:val="0"/>
      <w:marRight w:val="0"/>
      <w:marTop w:val="0"/>
      <w:marBottom w:val="0"/>
      <w:divBdr>
        <w:top w:val="none" w:sz="0" w:space="0" w:color="auto"/>
        <w:left w:val="none" w:sz="0" w:space="0" w:color="auto"/>
        <w:bottom w:val="none" w:sz="0" w:space="0" w:color="auto"/>
        <w:right w:val="none" w:sz="0" w:space="0" w:color="auto"/>
      </w:divBdr>
    </w:div>
    <w:div w:id="635334803">
      <w:bodyDiv w:val="1"/>
      <w:marLeft w:val="0"/>
      <w:marRight w:val="0"/>
      <w:marTop w:val="0"/>
      <w:marBottom w:val="0"/>
      <w:divBdr>
        <w:top w:val="none" w:sz="0" w:space="0" w:color="auto"/>
        <w:left w:val="none" w:sz="0" w:space="0" w:color="auto"/>
        <w:bottom w:val="none" w:sz="0" w:space="0" w:color="auto"/>
        <w:right w:val="none" w:sz="0" w:space="0" w:color="auto"/>
      </w:divBdr>
    </w:div>
    <w:div w:id="636686852">
      <w:bodyDiv w:val="1"/>
      <w:marLeft w:val="0"/>
      <w:marRight w:val="0"/>
      <w:marTop w:val="0"/>
      <w:marBottom w:val="0"/>
      <w:divBdr>
        <w:top w:val="none" w:sz="0" w:space="0" w:color="auto"/>
        <w:left w:val="none" w:sz="0" w:space="0" w:color="auto"/>
        <w:bottom w:val="none" w:sz="0" w:space="0" w:color="auto"/>
        <w:right w:val="none" w:sz="0" w:space="0" w:color="auto"/>
      </w:divBdr>
    </w:div>
    <w:div w:id="645671026">
      <w:bodyDiv w:val="1"/>
      <w:marLeft w:val="0"/>
      <w:marRight w:val="0"/>
      <w:marTop w:val="0"/>
      <w:marBottom w:val="0"/>
      <w:divBdr>
        <w:top w:val="none" w:sz="0" w:space="0" w:color="auto"/>
        <w:left w:val="none" w:sz="0" w:space="0" w:color="auto"/>
        <w:bottom w:val="none" w:sz="0" w:space="0" w:color="auto"/>
        <w:right w:val="none" w:sz="0" w:space="0" w:color="auto"/>
      </w:divBdr>
    </w:div>
    <w:div w:id="649208531">
      <w:bodyDiv w:val="1"/>
      <w:marLeft w:val="0"/>
      <w:marRight w:val="0"/>
      <w:marTop w:val="0"/>
      <w:marBottom w:val="0"/>
      <w:divBdr>
        <w:top w:val="none" w:sz="0" w:space="0" w:color="auto"/>
        <w:left w:val="none" w:sz="0" w:space="0" w:color="auto"/>
        <w:bottom w:val="none" w:sz="0" w:space="0" w:color="auto"/>
        <w:right w:val="none" w:sz="0" w:space="0" w:color="auto"/>
      </w:divBdr>
    </w:div>
    <w:div w:id="665519578">
      <w:bodyDiv w:val="1"/>
      <w:marLeft w:val="0"/>
      <w:marRight w:val="0"/>
      <w:marTop w:val="0"/>
      <w:marBottom w:val="0"/>
      <w:divBdr>
        <w:top w:val="none" w:sz="0" w:space="0" w:color="auto"/>
        <w:left w:val="none" w:sz="0" w:space="0" w:color="auto"/>
        <w:bottom w:val="none" w:sz="0" w:space="0" w:color="auto"/>
        <w:right w:val="none" w:sz="0" w:space="0" w:color="auto"/>
      </w:divBdr>
    </w:div>
    <w:div w:id="680854957">
      <w:bodyDiv w:val="1"/>
      <w:marLeft w:val="0"/>
      <w:marRight w:val="0"/>
      <w:marTop w:val="0"/>
      <w:marBottom w:val="0"/>
      <w:divBdr>
        <w:top w:val="none" w:sz="0" w:space="0" w:color="auto"/>
        <w:left w:val="none" w:sz="0" w:space="0" w:color="auto"/>
        <w:bottom w:val="none" w:sz="0" w:space="0" w:color="auto"/>
        <w:right w:val="none" w:sz="0" w:space="0" w:color="auto"/>
      </w:divBdr>
    </w:div>
    <w:div w:id="693729977">
      <w:bodyDiv w:val="1"/>
      <w:marLeft w:val="0"/>
      <w:marRight w:val="0"/>
      <w:marTop w:val="0"/>
      <w:marBottom w:val="0"/>
      <w:divBdr>
        <w:top w:val="none" w:sz="0" w:space="0" w:color="auto"/>
        <w:left w:val="none" w:sz="0" w:space="0" w:color="auto"/>
        <w:bottom w:val="none" w:sz="0" w:space="0" w:color="auto"/>
        <w:right w:val="none" w:sz="0" w:space="0" w:color="auto"/>
      </w:divBdr>
    </w:div>
    <w:div w:id="701441198">
      <w:bodyDiv w:val="1"/>
      <w:marLeft w:val="0"/>
      <w:marRight w:val="0"/>
      <w:marTop w:val="0"/>
      <w:marBottom w:val="0"/>
      <w:divBdr>
        <w:top w:val="none" w:sz="0" w:space="0" w:color="auto"/>
        <w:left w:val="none" w:sz="0" w:space="0" w:color="auto"/>
        <w:bottom w:val="none" w:sz="0" w:space="0" w:color="auto"/>
        <w:right w:val="none" w:sz="0" w:space="0" w:color="auto"/>
      </w:divBdr>
    </w:div>
    <w:div w:id="704135544">
      <w:bodyDiv w:val="1"/>
      <w:marLeft w:val="0"/>
      <w:marRight w:val="0"/>
      <w:marTop w:val="0"/>
      <w:marBottom w:val="0"/>
      <w:divBdr>
        <w:top w:val="none" w:sz="0" w:space="0" w:color="auto"/>
        <w:left w:val="none" w:sz="0" w:space="0" w:color="auto"/>
        <w:bottom w:val="none" w:sz="0" w:space="0" w:color="auto"/>
        <w:right w:val="none" w:sz="0" w:space="0" w:color="auto"/>
      </w:divBdr>
    </w:div>
    <w:div w:id="710031667">
      <w:bodyDiv w:val="1"/>
      <w:marLeft w:val="0"/>
      <w:marRight w:val="0"/>
      <w:marTop w:val="0"/>
      <w:marBottom w:val="0"/>
      <w:divBdr>
        <w:top w:val="none" w:sz="0" w:space="0" w:color="auto"/>
        <w:left w:val="none" w:sz="0" w:space="0" w:color="auto"/>
        <w:bottom w:val="none" w:sz="0" w:space="0" w:color="auto"/>
        <w:right w:val="none" w:sz="0" w:space="0" w:color="auto"/>
      </w:divBdr>
    </w:div>
    <w:div w:id="717751779">
      <w:bodyDiv w:val="1"/>
      <w:marLeft w:val="0"/>
      <w:marRight w:val="0"/>
      <w:marTop w:val="0"/>
      <w:marBottom w:val="0"/>
      <w:divBdr>
        <w:top w:val="none" w:sz="0" w:space="0" w:color="auto"/>
        <w:left w:val="none" w:sz="0" w:space="0" w:color="auto"/>
        <w:bottom w:val="none" w:sz="0" w:space="0" w:color="auto"/>
        <w:right w:val="none" w:sz="0" w:space="0" w:color="auto"/>
      </w:divBdr>
    </w:div>
    <w:div w:id="735012339">
      <w:bodyDiv w:val="1"/>
      <w:marLeft w:val="0"/>
      <w:marRight w:val="0"/>
      <w:marTop w:val="0"/>
      <w:marBottom w:val="0"/>
      <w:divBdr>
        <w:top w:val="none" w:sz="0" w:space="0" w:color="auto"/>
        <w:left w:val="none" w:sz="0" w:space="0" w:color="auto"/>
        <w:bottom w:val="none" w:sz="0" w:space="0" w:color="auto"/>
        <w:right w:val="none" w:sz="0" w:space="0" w:color="auto"/>
      </w:divBdr>
    </w:div>
    <w:div w:id="738402589">
      <w:bodyDiv w:val="1"/>
      <w:marLeft w:val="0"/>
      <w:marRight w:val="0"/>
      <w:marTop w:val="0"/>
      <w:marBottom w:val="0"/>
      <w:divBdr>
        <w:top w:val="none" w:sz="0" w:space="0" w:color="auto"/>
        <w:left w:val="none" w:sz="0" w:space="0" w:color="auto"/>
        <w:bottom w:val="none" w:sz="0" w:space="0" w:color="auto"/>
        <w:right w:val="none" w:sz="0" w:space="0" w:color="auto"/>
      </w:divBdr>
    </w:div>
    <w:div w:id="750857952">
      <w:bodyDiv w:val="1"/>
      <w:marLeft w:val="0"/>
      <w:marRight w:val="0"/>
      <w:marTop w:val="0"/>
      <w:marBottom w:val="0"/>
      <w:divBdr>
        <w:top w:val="none" w:sz="0" w:space="0" w:color="auto"/>
        <w:left w:val="none" w:sz="0" w:space="0" w:color="auto"/>
        <w:bottom w:val="none" w:sz="0" w:space="0" w:color="auto"/>
        <w:right w:val="none" w:sz="0" w:space="0" w:color="auto"/>
      </w:divBdr>
    </w:div>
    <w:div w:id="758335520">
      <w:bodyDiv w:val="1"/>
      <w:marLeft w:val="0"/>
      <w:marRight w:val="0"/>
      <w:marTop w:val="0"/>
      <w:marBottom w:val="0"/>
      <w:divBdr>
        <w:top w:val="none" w:sz="0" w:space="0" w:color="auto"/>
        <w:left w:val="none" w:sz="0" w:space="0" w:color="auto"/>
        <w:bottom w:val="none" w:sz="0" w:space="0" w:color="auto"/>
        <w:right w:val="none" w:sz="0" w:space="0" w:color="auto"/>
      </w:divBdr>
    </w:div>
    <w:div w:id="763115478">
      <w:bodyDiv w:val="1"/>
      <w:marLeft w:val="0"/>
      <w:marRight w:val="0"/>
      <w:marTop w:val="0"/>
      <w:marBottom w:val="0"/>
      <w:divBdr>
        <w:top w:val="none" w:sz="0" w:space="0" w:color="auto"/>
        <w:left w:val="none" w:sz="0" w:space="0" w:color="auto"/>
        <w:bottom w:val="none" w:sz="0" w:space="0" w:color="auto"/>
        <w:right w:val="none" w:sz="0" w:space="0" w:color="auto"/>
      </w:divBdr>
    </w:div>
    <w:div w:id="764346981">
      <w:bodyDiv w:val="1"/>
      <w:marLeft w:val="0"/>
      <w:marRight w:val="0"/>
      <w:marTop w:val="0"/>
      <w:marBottom w:val="0"/>
      <w:divBdr>
        <w:top w:val="none" w:sz="0" w:space="0" w:color="auto"/>
        <w:left w:val="none" w:sz="0" w:space="0" w:color="auto"/>
        <w:bottom w:val="none" w:sz="0" w:space="0" w:color="auto"/>
        <w:right w:val="none" w:sz="0" w:space="0" w:color="auto"/>
      </w:divBdr>
    </w:div>
    <w:div w:id="809446937">
      <w:bodyDiv w:val="1"/>
      <w:marLeft w:val="0"/>
      <w:marRight w:val="0"/>
      <w:marTop w:val="0"/>
      <w:marBottom w:val="0"/>
      <w:divBdr>
        <w:top w:val="none" w:sz="0" w:space="0" w:color="auto"/>
        <w:left w:val="none" w:sz="0" w:space="0" w:color="auto"/>
        <w:bottom w:val="none" w:sz="0" w:space="0" w:color="auto"/>
        <w:right w:val="none" w:sz="0" w:space="0" w:color="auto"/>
      </w:divBdr>
    </w:div>
    <w:div w:id="811751539">
      <w:bodyDiv w:val="1"/>
      <w:marLeft w:val="0"/>
      <w:marRight w:val="0"/>
      <w:marTop w:val="0"/>
      <w:marBottom w:val="0"/>
      <w:divBdr>
        <w:top w:val="none" w:sz="0" w:space="0" w:color="auto"/>
        <w:left w:val="none" w:sz="0" w:space="0" w:color="auto"/>
        <w:bottom w:val="none" w:sz="0" w:space="0" w:color="auto"/>
        <w:right w:val="none" w:sz="0" w:space="0" w:color="auto"/>
      </w:divBdr>
    </w:div>
    <w:div w:id="814879744">
      <w:bodyDiv w:val="1"/>
      <w:marLeft w:val="0"/>
      <w:marRight w:val="0"/>
      <w:marTop w:val="0"/>
      <w:marBottom w:val="0"/>
      <w:divBdr>
        <w:top w:val="none" w:sz="0" w:space="0" w:color="auto"/>
        <w:left w:val="none" w:sz="0" w:space="0" w:color="auto"/>
        <w:bottom w:val="none" w:sz="0" w:space="0" w:color="auto"/>
        <w:right w:val="none" w:sz="0" w:space="0" w:color="auto"/>
      </w:divBdr>
    </w:div>
    <w:div w:id="821385299">
      <w:bodyDiv w:val="1"/>
      <w:marLeft w:val="0"/>
      <w:marRight w:val="0"/>
      <w:marTop w:val="0"/>
      <w:marBottom w:val="0"/>
      <w:divBdr>
        <w:top w:val="none" w:sz="0" w:space="0" w:color="auto"/>
        <w:left w:val="none" w:sz="0" w:space="0" w:color="auto"/>
        <w:bottom w:val="none" w:sz="0" w:space="0" w:color="auto"/>
        <w:right w:val="none" w:sz="0" w:space="0" w:color="auto"/>
      </w:divBdr>
    </w:div>
    <w:div w:id="828324326">
      <w:bodyDiv w:val="1"/>
      <w:marLeft w:val="0"/>
      <w:marRight w:val="0"/>
      <w:marTop w:val="0"/>
      <w:marBottom w:val="0"/>
      <w:divBdr>
        <w:top w:val="none" w:sz="0" w:space="0" w:color="auto"/>
        <w:left w:val="none" w:sz="0" w:space="0" w:color="auto"/>
        <w:bottom w:val="none" w:sz="0" w:space="0" w:color="auto"/>
        <w:right w:val="none" w:sz="0" w:space="0" w:color="auto"/>
      </w:divBdr>
    </w:div>
    <w:div w:id="847063187">
      <w:bodyDiv w:val="1"/>
      <w:marLeft w:val="0"/>
      <w:marRight w:val="0"/>
      <w:marTop w:val="0"/>
      <w:marBottom w:val="0"/>
      <w:divBdr>
        <w:top w:val="none" w:sz="0" w:space="0" w:color="auto"/>
        <w:left w:val="none" w:sz="0" w:space="0" w:color="auto"/>
        <w:bottom w:val="none" w:sz="0" w:space="0" w:color="auto"/>
        <w:right w:val="none" w:sz="0" w:space="0" w:color="auto"/>
      </w:divBdr>
    </w:div>
    <w:div w:id="849216986">
      <w:bodyDiv w:val="1"/>
      <w:marLeft w:val="0"/>
      <w:marRight w:val="0"/>
      <w:marTop w:val="0"/>
      <w:marBottom w:val="0"/>
      <w:divBdr>
        <w:top w:val="none" w:sz="0" w:space="0" w:color="auto"/>
        <w:left w:val="none" w:sz="0" w:space="0" w:color="auto"/>
        <w:bottom w:val="none" w:sz="0" w:space="0" w:color="auto"/>
        <w:right w:val="none" w:sz="0" w:space="0" w:color="auto"/>
      </w:divBdr>
    </w:div>
    <w:div w:id="856194798">
      <w:bodyDiv w:val="1"/>
      <w:marLeft w:val="0"/>
      <w:marRight w:val="0"/>
      <w:marTop w:val="0"/>
      <w:marBottom w:val="0"/>
      <w:divBdr>
        <w:top w:val="none" w:sz="0" w:space="0" w:color="auto"/>
        <w:left w:val="none" w:sz="0" w:space="0" w:color="auto"/>
        <w:bottom w:val="none" w:sz="0" w:space="0" w:color="auto"/>
        <w:right w:val="none" w:sz="0" w:space="0" w:color="auto"/>
      </w:divBdr>
    </w:div>
    <w:div w:id="859899933">
      <w:bodyDiv w:val="1"/>
      <w:marLeft w:val="0"/>
      <w:marRight w:val="0"/>
      <w:marTop w:val="0"/>
      <w:marBottom w:val="0"/>
      <w:divBdr>
        <w:top w:val="none" w:sz="0" w:space="0" w:color="auto"/>
        <w:left w:val="none" w:sz="0" w:space="0" w:color="auto"/>
        <w:bottom w:val="none" w:sz="0" w:space="0" w:color="auto"/>
        <w:right w:val="none" w:sz="0" w:space="0" w:color="auto"/>
      </w:divBdr>
    </w:div>
    <w:div w:id="863321115">
      <w:bodyDiv w:val="1"/>
      <w:marLeft w:val="0"/>
      <w:marRight w:val="0"/>
      <w:marTop w:val="0"/>
      <w:marBottom w:val="0"/>
      <w:divBdr>
        <w:top w:val="none" w:sz="0" w:space="0" w:color="auto"/>
        <w:left w:val="none" w:sz="0" w:space="0" w:color="auto"/>
        <w:bottom w:val="none" w:sz="0" w:space="0" w:color="auto"/>
        <w:right w:val="none" w:sz="0" w:space="0" w:color="auto"/>
      </w:divBdr>
    </w:div>
    <w:div w:id="867714665">
      <w:bodyDiv w:val="1"/>
      <w:marLeft w:val="0"/>
      <w:marRight w:val="0"/>
      <w:marTop w:val="0"/>
      <w:marBottom w:val="0"/>
      <w:divBdr>
        <w:top w:val="none" w:sz="0" w:space="0" w:color="auto"/>
        <w:left w:val="none" w:sz="0" w:space="0" w:color="auto"/>
        <w:bottom w:val="none" w:sz="0" w:space="0" w:color="auto"/>
        <w:right w:val="none" w:sz="0" w:space="0" w:color="auto"/>
      </w:divBdr>
    </w:div>
    <w:div w:id="868177728">
      <w:bodyDiv w:val="1"/>
      <w:marLeft w:val="0"/>
      <w:marRight w:val="0"/>
      <w:marTop w:val="0"/>
      <w:marBottom w:val="0"/>
      <w:divBdr>
        <w:top w:val="none" w:sz="0" w:space="0" w:color="auto"/>
        <w:left w:val="none" w:sz="0" w:space="0" w:color="auto"/>
        <w:bottom w:val="none" w:sz="0" w:space="0" w:color="auto"/>
        <w:right w:val="none" w:sz="0" w:space="0" w:color="auto"/>
      </w:divBdr>
    </w:div>
    <w:div w:id="876237104">
      <w:bodyDiv w:val="1"/>
      <w:marLeft w:val="0"/>
      <w:marRight w:val="0"/>
      <w:marTop w:val="0"/>
      <w:marBottom w:val="0"/>
      <w:divBdr>
        <w:top w:val="none" w:sz="0" w:space="0" w:color="auto"/>
        <w:left w:val="none" w:sz="0" w:space="0" w:color="auto"/>
        <w:bottom w:val="none" w:sz="0" w:space="0" w:color="auto"/>
        <w:right w:val="none" w:sz="0" w:space="0" w:color="auto"/>
      </w:divBdr>
    </w:div>
    <w:div w:id="878667286">
      <w:bodyDiv w:val="1"/>
      <w:marLeft w:val="0"/>
      <w:marRight w:val="0"/>
      <w:marTop w:val="0"/>
      <w:marBottom w:val="0"/>
      <w:divBdr>
        <w:top w:val="none" w:sz="0" w:space="0" w:color="auto"/>
        <w:left w:val="none" w:sz="0" w:space="0" w:color="auto"/>
        <w:bottom w:val="none" w:sz="0" w:space="0" w:color="auto"/>
        <w:right w:val="none" w:sz="0" w:space="0" w:color="auto"/>
      </w:divBdr>
    </w:div>
    <w:div w:id="885798650">
      <w:bodyDiv w:val="1"/>
      <w:marLeft w:val="0"/>
      <w:marRight w:val="0"/>
      <w:marTop w:val="0"/>
      <w:marBottom w:val="0"/>
      <w:divBdr>
        <w:top w:val="none" w:sz="0" w:space="0" w:color="auto"/>
        <w:left w:val="none" w:sz="0" w:space="0" w:color="auto"/>
        <w:bottom w:val="none" w:sz="0" w:space="0" w:color="auto"/>
        <w:right w:val="none" w:sz="0" w:space="0" w:color="auto"/>
      </w:divBdr>
    </w:div>
    <w:div w:id="889609899">
      <w:bodyDiv w:val="1"/>
      <w:marLeft w:val="0"/>
      <w:marRight w:val="0"/>
      <w:marTop w:val="0"/>
      <w:marBottom w:val="0"/>
      <w:divBdr>
        <w:top w:val="none" w:sz="0" w:space="0" w:color="auto"/>
        <w:left w:val="none" w:sz="0" w:space="0" w:color="auto"/>
        <w:bottom w:val="none" w:sz="0" w:space="0" w:color="auto"/>
        <w:right w:val="none" w:sz="0" w:space="0" w:color="auto"/>
      </w:divBdr>
    </w:div>
    <w:div w:id="907810639">
      <w:bodyDiv w:val="1"/>
      <w:marLeft w:val="0"/>
      <w:marRight w:val="0"/>
      <w:marTop w:val="0"/>
      <w:marBottom w:val="0"/>
      <w:divBdr>
        <w:top w:val="none" w:sz="0" w:space="0" w:color="auto"/>
        <w:left w:val="none" w:sz="0" w:space="0" w:color="auto"/>
        <w:bottom w:val="none" w:sz="0" w:space="0" w:color="auto"/>
        <w:right w:val="none" w:sz="0" w:space="0" w:color="auto"/>
      </w:divBdr>
    </w:div>
    <w:div w:id="908614705">
      <w:bodyDiv w:val="1"/>
      <w:marLeft w:val="0"/>
      <w:marRight w:val="0"/>
      <w:marTop w:val="0"/>
      <w:marBottom w:val="0"/>
      <w:divBdr>
        <w:top w:val="none" w:sz="0" w:space="0" w:color="auto"/>
        <w:left w:val="none" w:sz="0" w:space="0" w:color="auto"/>
        <w:bottom w:val="none" w:sz="0" w:space="0" w:color="auto"/>
        <w:right w:val="none" w:sz="0" w:space="0" w:color="auto"/>
      </w:divBdr>
    </w:div>
    <w:div w:id="923074639">
      <w:bodyDiv w:val="1"/>
      <w:marLeft w:val="0"/>
      <w:marRight w:val="0"/>
      <w:marTop w:val="0"/>
      <w:marBottom w:val="0"/>
      <w:divBdr>
        <w:top w:val="none" w:sz="0" w:space="0" w:color="auto"/>
        <w:left w:val="none" w:sz="0" w:space="0" w:color="auto"/>
        <w:bottom w:val="none" w:sz="0" w:space="0" w:color="auto"/>
        <w:right w:val="none" w:sz="0" w:space="0" w:color="auto"/>
      </w:divBdr>
    </w:div>
    <w:div w:id="948127677">
      <w:bodyDiv w:val="1"/>
      <w:marLeft w:val="0"/>
      <w:marRight w:val="0"/>
      <w:marTop w:val="0"/>
      <w:marBottom w:val="0"/>
      <w:divBdr>
        <w:top w:val="none" w:sz="0" w:space="0" w:color="auto"/>
        <w:left w:val="none" w:sz="0" w:space="0" w:color="auto"/>
        <w:bottom w:val="none" w:sz="0" w:space="0" w:color="auto"/>
        <w:right w:val="none" w:sz="0" w:space="0" w:color="auto"/>
      </w:divBdr>
    </w:div>
    <w:div w:id="964235713">
      <w:bodyDiv w:val="1"/>
      <w:marLeft w:val="0"/>
      <w:marRight w:val="0"/>
      <w:marTop w:val="0"/>
      <w:marBottom w:val="0"/>
      <w:divBdr>
        <w:top w:val="none" w:sz="0" w:space="0" w:color="auto"/>
        <w:left w:val="none" w:sz="0" w:space="0" w:color="auto"/>
        <w:bottom w:val="none" w:sz="0" w:space="0" w:color="auto"/>
        <w:right w:val="none" w:sz="0" w:space="0" w:color="auto"/>
      </w:divBdr>
    </w:div>
    <w:div w:id="965159505">
      <w:bodyDiv w:val="1"/>
      <w:marLeft w:val="0"/>
      <w:marRight w:val="0"/>
      <w:marTop w:val="0"/>
      <w:marBottom w:val="0"/>
      <w:divBdr>
        <w:top w:val="none" w:sz="0" w:space="0" w:color="auto"/>
        <w:left w:val="none" w:sz="0" w:space="0" w:color="auto"/>
        <w:bottom w:val="none" w:sz="0" w:space="0" w:color="auto"/>
        <w:right w:val="none" w:sz="0" w:space="0" w:color="auto"/>
      </w:divBdr>
    </w:div>
    <w:div w:id="969285618">
      <w:bodyDiv w:val="1"/>
      <w:marLeft w:val="0"/>
      <w:marRight w:val="0"/>
      <w:marTop w:val="0"/>
      <w:marBottom w:val="0"/>
      <w:divBdr>
        <w:top w:val="none" w:sz="0" w:space="0" w:color="auto"/>
        <w:left w:val="none" w:sz="0" w:space="0" w:color="auto"/>
        <w:bottom w:val="none" w:sz="0" w:space="0" w:color="auto"/>
        <w:right w:val="none" w:sz="0" w:space="0" w:color="auto"/>
      </w:divBdr>
    </w:div>
    <w:div w:id="972563040">
      <w:bodyDiv w:val="1"/>
      <w:marLeft w:val="0"/>
      <w:marRight w:val="0"/>
      <w:marTop w:val="0"/>
      <w:marBottom w:val="0"/>
      <w:divBdr>
        <w:top w:val="none" w:sz="0" w:space="0" w:color="auto"/>
        <w:left w:val="none" w:sz="0" w:space="0" w:color="auto"/>
        <w:bottom w:val="none" w:sz="0" w:space="0" w:color="auto"/>
        <w:right w:val="none" w:sz="0" w:space="0" w:color="auto"/>
      </w:divBdr>
    </w:div>
    <w:div w:id="983313278">
      <w:bodyDiv w:val="1"/>
      <w:marLeft w:val="0"/>
      <w:marRight w:val="0"/>
      <w:marTop w:val="0"/>
      <w:marBottom w:val="0"/>
      <w:divBdr>
        <w:top w:val="none" w:sz="0" w:space="0" w:color="auto"/>
        <w:left w:val="none" w:sz="0" w:space="0" w:color="auto"/>
        <w:bottom w:val="none" w:sz="0" w:space="0" w:color="auto"/>
        <w:right w:val="none" w:sz="0" w:space="0" w:color="auto"/>
      </w:divBdr>
    </w:div>
    <w:div w:id="998651854">
      <w:bodyDiv w:val="1"/>
      <w:marLeft w:val="0"/>
      <w:marRight w:val="0"/>
      <w:marTop w:val="0"/>
      <w:marBottom w:val="0"/>
      <w:divBdr>
        <w:top w:val="none" w:sz="0" w:space="0" w:color="auto"/>
        <w:left w:val="none" w:sz="0" w:space="0" w:color="auto"/>
        <w:bottom w:val="none" w:sz="0" w:space="0" w:color="auto"/>
        <w:right w:val="none" w:sz="0" w:space="0" w:color="auto"/>
      </w:divBdr>
    </w:div>
    <w:div w:id="1004481335">
      <w:bodyDiv w:val="1"/>
      <w:marLeft w:val="0"/>
      <w:marRight w:val="0"/>
      <w:marTop w:val="0"/>
      <w:marBottom w:val="0"/>
      <w:divBdr>
        <w:top w:val="none" w:sz="0" w:space="0" w:color="auto"/>
        <w:left w:val="none" w:sz="0" w:space="0" w:color="auto"/>
        <w:bottom w:val="none" w:sz="0" w:space="0" w:color="auto"/>
        <w:right w:val="none" w:sz="0" w:space="0" w:color="auto"/>
      </w:divBdr>
    </w:div>
    <w:div w:id="1004943662">
      <w:bodyDiv w:val="1"/>
      <w:marLeft w:val="0"/>
      <w:marRight w:val="0"/>
      <w:marTop w:val="0"/>
      <w:marBottom w:val="0"/>
      <w:divBdr>
        <w:top w:val="none" w:sz="0" w:space="0" w:color="auto"/>
        <w:left w:val="none" w:sz="0" w:space="0" w:color="auto"/>
        <w:bottom w:val="none" w:sz="0" w:space="0" w:color="auto"/>
        <w:right w:val="none" w:sz="0" w:space="0" w:color="auto"/>
      </w:divBdr>
    </w:div>
    <w:div w:id="1009330414">
      <w:bodyDiv w:val="1"/>
      <w:marLeft w:val="0"/>
      <w:marRight w:val="0"/>
      <w:marTop w:val="0"/>
      <w:marBottom w:val="0"/>
      <w:divBdr>
        <w:top w:val="none" w:sz="0" w:space="0" w:color="auto"/>
        <w:left w:val="none" w:sz="0" w:space="0" w:color="auto"/>
        <w:bottom w:val="none" w:sz="0" w:space="0" w:color="auto"/>
        <w:right w:val="none" w:sz="0" w:space="0" w:color="auto"/>
      </w:divBdr>
    </w:div>
    <w:div w:id="1018892500">
      <w:bodyDiv w:val="1"/>
      <w:marLeft w:val="0"/>
      <w:marRight w:val="0"/>
      <w:marTop w:val="0"/>
      <w:marBottom w:val="0"/>
      <w:divBdr>
        <w:top w:val="none" w:sz="0" w:space="0" w:color="auto"/>
        <w:left w:val="none" w:sz="0" w:space="0" w:color="auto"/>
        <w:bottom w:val="none" w:sz="0" w:space="0" w:color="auto"/>
        <w:right w:val="none" w:sz="0" w:space="0" w:color="auto"/>
      </w:divBdr>
    </w:div>
    <w:div w:id="1021127815">
      <w:bodyDiv w:val="1"/>
      <w:marLeft w:val="0"/>
      <w:marRight w:val="0"/>
      <w:marTop w:val="0"/>
      <w:marBottom w:val="0"/>
      <w:divBdr>
        <w:top w:val="none" w:sz="0" w:space="0" w:color="auto"/>
        <w:left w:val="none" w:sz="0" w:space="0" w:color="auto"/>
        <w:bottom w:val="none" w:sz="0" w:space="0" w:color="auto"/>
        <w:right w:val="none" w:sz="0" w:space="0" w:color="auto"/>
      </w:divBdr>
    </w:div>
    <w:div w:id="1028607166">
      <w:bodyDiv w:val="1"/>
      <w:marLeft w:val="0"/>
      <w:marRight w:val="0"/>
      <w:marTop w:val="0"/>
      <w:marBottom w:val="0"/>
      <w:divBdr>
        <w:top w:val="none" w:sz="0" w:space="0" w:color="auto"/>
        <w:left w:val="none" w:sz="0" w:space="0" w:color="auto"/>
        <w:bottom w:val="none" w:sz="0" w:space="0" w:color="auto"/>
        <w:right w:val="none" w:sz="0" w:space="0" w:color="auto"/>
      </w:divBdr>
    </w:div>
    <w:div w:id="1031109801">
      <w:bodyDiv w:val="1"/>
      <w:marLeft w:val="0"/>
      <w:marRight w:val="0"/>
      <w:marTop w:val="0"/>
      <w:marBottom w:val="0"/>
      <w:divBdr>
        <w:top w:val="none" w:sz="0" w:space="0" w:color="auto"/>
        <w:left w:val="none" w:sz="0" w:space="0" w:color="auto"/>
        <w:bottom w:val="none" w:sz="0" w:space="0" w:color="auto"/>
        <w:right w:val="none" w:sz="0" w:space="0" w:color="auto"/>
      </w:divBdr>
    </w:div>
    <w:div w:id="1044064362">
      <w:bodyDiv w:val="1"/>
      <w:marLeft w:val="0"/>
      <w:marRight w:val="0"/>
      <w:marTop w:val="0"/>
      <w:marBottom w:val="0"/>
      <w:divBdr>
        <w:top w:val="none" w:sz="0" w:space="0" w:color="auto"/>
        <w:left w:val="none" w:sz="0" w:space="0" w:color="auto"/>
        <w:bottom w:val="none" w:sz="0" w:space="0" w:color="auto"/>
        <w:right w:val="none" w:sz="0" w:space="0" w:color="auto"/>
      </w:divBdr>
    </w:div>
    <w:div w:id="1047946684">
      <w:bodyDiv w:val="1"/>
      <w:marLeft w:val="0"/>
      <w:marRight w:val="0"/>
      <w:marTop w:val="0"/>
      <w:marBottom w:val="0"/>
      <w:divBdr>
        <w:top w:val="none" w:sz="0" w:space="0" w:color="auto"/>
        <w:left w:val="none" w:sz="0" w:space="0" w:color="auto"/>
        <w:bottom w:val="none" w:sz="0" w:space="0" w:color="auto"/>
        <w:right w:val="none" w:sz="0" w:space="0" w:color="auto"/>
      </w:divBdr>
    </w:div>
    <w:div w:id="1056203829">
      <w:bodyDiv w:val="1"/>
      <w:marLeft w:val="0"/>
      <w:marRight w:val="0"/>
      <w:marTop w:val="0"/>
      <w:marBottom w:val="0"/>
      <w:divBdr>
        <w:top w:val="none" w:sz="0" w:space="0" w:color="auto"/>
        <w:left w:val="none" w:sz="0" w:space="0" w:color="auto"/>
        <w:bottom w:val="none" w:sz="0" w:space="0" w:color="auto"/>
        <w:right w:val="none" w:sz="0" w:space="0" w:color="auto"/>
      </w:divBdr>
    </w:div>
    <w:div w:id="1060010929">
      <w:bodyDiv w:val="1"/>
      <w:marLeft w:val="0"/>
      <w:marRight w:val="0"/>
      <w:marTop w:val="0"/>
      <w:marBottom w:val="0"/>
      <w:divBdr>
        <w:top w:val="none" w:sz="0" w:space="0" w:color="auto"/>
        <w:left w:val="none" w:sz="0" w:space="0" w:color="auto"/>
        <w:bottom w:val="none" w:sz="0" w:space="0" w:color="auto"/>
        <w:right w:val="none" w:sz="0" w:space="0" w:color="auto"/>
      </w:divBdr>
    </w:div>
    <w:div w:id="1066032222">
      <w:bodyDiv w:val="1"/>
      <w:marLeft w:val="0"/>
      <w:marRight w:val="0"/>
      <w:marTop w:val="0"/>
      <w:marBottom w:val="0"/>
      <w:divBdr>
        <w:top w:val="none" w:sz="0" w:space="0" w:color="auto"/>
        <w:left w:val="none" w:sz="0" w:space="0" w:color="auto"/>
        <w:bottom w:val="none" w:sz="0" w:space="0" w:color="auto"/>
        <w:right w:val="none" w:sz="0" w:space="0" w:color="auto"/>
      </w:divBdr>
    </w:div>
    <w:div w:id="1074887956">
      <w:bodyDiv w:val="1"/>
      <w:marLeft w:val="0"/>
      <w:marRight w:val="0"/>
      <w:marTop w:val="0"/>
      <w:marBottom w:val="0"/>
      <w:divBdr>
        <w:top w:val="none" w:sz="0" w:space="0" w:color="auto"/>
        <w:left w:val="none" w:sz="0" w:space="0" w:color="auto"/>
        <w:bottom w:val="none" w:sz="0" w:space="0" w:color="auto"/>
        <w:right w:val="none" w:sz="0" w:space="0" w:color="auto"/>
      </w:divBdr>
    </w:div>
    <w:div w:id="1084184754">
      <w:bodyDiv w:val="1"/>
      <w:marLeft w:val="0"/>
      <w:marRight w:val="0"/>
      <w:marTop w:val="0"/>
      <w:marBottom w:val="0"/>
      <w:divBdr>
        <w:top w:val="none" w:sz="0" w:space="0" w:color="auto"/>
        <w:left w:val="none" w:sz="0" w:space="0" w:color="auto"/>
        <w:bottom w:val="none" w:sz="0" w:space="0" w:color="auto"/>
        <w:right w:val="none" w:sz="0" w:space="0" w:color="auto"/>
      </w:divBdr>
    </w:div>
    <w:div w:id="1091312656">
      <w:bodyDiv w:val="1"/>
      <w:marLeft w:val="0"/>
      <w:marRight w:val="0"/>
      <w:marTop w:val="0"/>
      <w:marBottom w:val="0"/>
      <w:divBdr>
        <w:top w:val="none" w:sz="0" w:space="0" w:color="auto"/>
        <w:left w:val="none" w:sz="0" w:space="0" w:color="auto"/>
        <w:bottom w:val="none" w:sz="0" w:space="0" w:color="auto"/>
        <w:right w:val="none" w:sz="0" w:space="0" w:color="auto"/>
      </w:divBdr>
    </w:div>
    <w:div w:id="1093741363">
      <w:bodyDiv w:val="1"/>
      <w:marLeft w:val="0"/>
      <w:marRight w:val="0"/>
      <w:marTop w:val="0"/>
      <w:marBottom w:val="0"/>
      <w:divBdr>
        <w:top w:val="none" w:sz="0" w:space="0" w:color="auto"/>
        <w:left w:val="none" w:sz="0" w:space="0" w:color="auto"/>
        <w:bottom w:val="none" w:sz="0" w:space="0" w:color="auto"/>
        <w:right w:val="none" w:sz="0" w:space="0" w:color="auto"/>
      </w:divBdr>
    </w:div>
    <w:div w:id="1095632862">
      <w:bodyDiv w:val="1"/>
      <w:marLeft w:val="0"/>
      <w:marRight w:val="0"/>
      <w:marTop w:val="0"/>
      <w:marBottom w:val="0"/>
      <w:divBdr>
        <w:top w:val="none" w:sz="0" w:space="0" w:color="auto"/>
        <w:left w:val="none" w:sz="0" w:space="0" w:color="auto"/>
        <w:bottom w:val="none" w:sz="0" w:space="0" w:color="auto"/>
        <w:right w:val="none" w:sz="0" w:space="0" w:color="auto"/>
      </w:divBdr>
    </w:div>
    <w:div w:id="1097017948">
      <w:bodyDiv w:val="1"/>
      <w:marLeft w:val="0"/>
      <w:marRight w:val="0"/>
      <w:marTop w:val="0"/>
      <w:marBottom w:val="0"/>
      <w:divBdr>
        <w:top w:val="none" w:sz="0" w:space="0" w:color="auto"/>
        <w:left w:val="none" w:sz="0" w:space="0" w:color="auto"/>
        <w:bottom w:val="none" w:sz="0" w:space="0" w:color="auto"/>
        <w:right w:val="none" w:sz="0" w:space="0" w:color="auto"/>
      </w:divBdr>
    </w:div>
    <w:div w:id="1112431841">
      <w:bodyDiv w:val="1"/>
      <w:marLeft w:val="0"/>
      <w:marRight w:val="0"/>
      <w:marTop w:val="0"/>
      <w:marBottom w:val="0"/>
      <w:divBdr>
        <w:top w:val="none" w:sz="0" w:space="0" w:color="auto"/>
        <w:left w:val="none" w:sz="0" w:space="0" w:color="auto"/>
        <w:bottom w:val="none" w:sz="0" w:space="0" w:color="auto"/>
        <w:right w:val="none" w:sz="0" w:space="0" w:color="auto"/>
      </w:divBdr>
    </w:div>
    <w:div w:id="1133910212">
      <w:bodyDiv w:val="1"/>
      <w:marLeft w:val="0"/>
      <w:marRight w:val="0"/>
      <w:marTop w:val="0"/>
      <w:marBottom w:val="0"/>
      <w:divBdr>
        <w:top w:val="none" w:sz="0" w:space="0" w:color="auto"/>
        <w:left w:val="none" w:sz="0" w:space="0" w:color="auto"/>
        <w:bottom w:val="none" w:sz="0" w:space="0" w:color="auto"/>
        <w:right w:val="none" w:sz="0" w:space="0" w:color="auto"/>
      </w:divBdr>
    </w:div>
    <w:div w:id="1140534736">
      <w:bodyDiv w:val="1"/>
      <w:marLeft w:val="0"/>
      <w:marRight w:val="0"/>
      <w:marTop w:val="0"/>
      <w:marBottom w:val="0"/>
      <w:divBdr>
        <w:top w:val="none" w:sz="0" w:space="0" w:color="auto"/>
        <w:left w:val="none" w:sz="0" w:space="0" w:color="auto"/>
        <w:bottom w:val="none" w:sz="0" w:space="0" w:color="auto"/>
        <w:right w:val="none" w:sz="0" w:space="0" w:color="auto"/>
      </w:divBdr>
    </w:div>
    <w:div w:id="1150975216">
      <w:bodyDiv w:val="1"/>
      <w:marLeft w:val="0"/>
      <w:marRight w:val="0"/>
      <w:marTop w:val="0"/>
      <w:marBottom w:val="0"/>
      <w:divBdr>
        <w:top w:val="none" w:sz="0" w:space="0" w:color="auto"/>
        <w:left w:val="none" w:sz="0" w:space="0" w:color="auto"/>
        <w:bottom w:val="none" w:sz="0" w:space="0" w:color="auto"/>
        <w:right w:val="none" w:sz="0" w:space="0" w:color="auto"/>
      </w:divBdr>
    </w:div>
    <w:div w:id="1155755859">
      <w:bodyDiv w:val="1"/>
      <w:marLeft w:val="0"/>
      <w:marRight w:val="0"/>
      <w:marTop w:val="0"/>
      <w:marBottom w:val="0"/>
      <w:divBdr>
        <w:top w:val="none" w:sz="0" w:space="0" w:color="auto"/>
        <w:left w:val="none" w:sz="0" w:space="0" w:color="auto"/>
        <w:bottom w:val="none" w:sz="0" w:space="0" w:color="auto"/>
        <w:right w:val="none" w:sz="0" w:space="0" w:color="auto"/>
      </w:divBdr>
    </w:div>
    <w:div w:id="1156068835">
      <w:bodyDiv w:val="1"/>
      <w:marLeft w:val="0"/>
      <w:marRight w:val="0"/>
      <w:marTop w:val="0"/>
      <w:marBottom w:val="0"/>
      <w:divBdr>
        <w:top w:val="none" w:sz="0" w:space="0" w:color="auto"/>
        <w:left w:val="none" w:sz="0" w:space="0" w:color="auto"/>
        <w:bottom w:val="none" w:sz="0" w:space="0" w:color="auto"/>
        <w:right w:val="none" w:sz="0" w:space="0" w:color="auto"/>
      </w:divBdr>
    </w:div>
    <w:div w:id="1162282190">
      <w:bodyDiv w:val="1"/>
      <w:marLeft w:val="0"/>
      <w:marRight w:val="0"/>
      <w:marTop w:val="0"/>
      <w:marBottom w:val="0"/>
      <w:divBdr>
        <w:top w:val="none" w:sz="0" w:space="0" w:color="auto"/>
        <w:left w:val="none" w:sz="0" w:space="0" w:color="auto"/>
        <w:bottom w:val="none" w:sz="0" w:space="0" w:color="auto"/>
        <w:right w:val="none" w:sz="0" w:space="0" w:color="auto"/>
      </w:divBdr>
    </w:div>
    <w:div w:id="1162814013">
      <w:bodyDiv w:val="1"/>
      <w:marLeft w:val="0"/>
      <w:marRight w:val="0"/>
      <w:marTop w:val="0"/>
      <w:marBottom w:val="0"/>
      <w:divBdr>
        <w:top w:val="none" w:sz="0" w:space="0" w:color="auto"/>
        <w:left w:val="none" w:sz="0" w:space="0" w:color="auto"/>
        <w:bottom w:val="none" w:sz="0" w:space="0" w:color="auto"/>
        <w:right w:val="none" w:sz="0" w:space="0" w:color="auto"/>
      </w:divBdr>
    </w:div>
    <w:div w:id="1169446366">
      <w:bodyDiv w:val="1"/>
      <w:marLeft w:val="0"/>
      <w:marRight w:val="0"/>
      <w:marTop w:val="0"/>
      <w:marBottom w:val="0"/>
      <w:divBdr>
        <w:top w:val="none" w:sz="0" w:space="0" w:color="auto"/>
        <w:left w:val="none" w:sz="0" w:space="0" w:color="auto"/>
        <w:bottom w:val="none" w:sz="0" w:space="0" w:color="auto"/>
        <w:right w:val="none" w:sz="0" w:space="0" w:color="auto"/>
      </w:divBdr>
    </w:div>
    <w:div w:id="1175267680">
      <w:bodyDiv w:val="1"/>
      <w:marLeft w:val="0"/>
      <w:marRight w:val="0"/>
      <w:marTop w:val="0"/>
      <w:marBottom w:val="0"/>
      <w:divBdr>
        <w:top w:val="none" w:sz="0" w:space="0" w:color="auto"/>
        <w:left w:val="none" w:sz="0" w:space="0" w:color="auto"/>
        <w:bottom w:val="none" w:sz="0" w:space="0" w:color="auto"/>
        <w:right w:val="none" w:sz="0" w:space="0" w:color="auto"/>
      </w:divBdr>
    </w:div>
    <w:div w:id="1179810823">
      <w:bodyDiv w:val="1"/>
      <w:marLeft w:val="0"/>
      <w:marRight w:val="0"/>
      <w:marTop w:val="0"/>
      <w:marBottom w:val="0"/>
      <w:divBdr>
        <w:top w:val="none" w:sz="0" w:space="0" w:color="auto"/>
        <w:left w:val="none" w:sz="0" w:space="0" w:color="auto"/>
        <w:bottom w:val="none" w:sz="0" w:space="0" w:color="auto"/>
        <w:right w:val="none" w:sz="0" w:space="0" w:color="auto"/>
      </w:divBdr>
    </w:div>
    <w:div w:id="1181966408">
      <w:bodyDiv w:val="1"/>
      <w:marLeft w:val="0"/>
      <w:marRight w:val="0"/>
      <w:marTop w:val="0"/>
      <w:marBottom w:val="0"/>
      <w:divBdr>
        <w:top w:val="none" w:sz="0" w:space="0" w:color="auto"/>
        <w:left w:val="none" w:sz="0" w:space="0" w:color="auto"/>
        <w:bottom w:val="none" w:sz="0" w:space="0" w:color="auto"/>
        <w:right w:val="none" w:sz="0" w:space="0" w:color="auto"/>
      </w:divBdr>
    </w:div>
    <w:div w:id="1191261280">
      <w:bodyDiv w:val="1"/>
      <w:marLeft w:val="0"/>
      <w:marRight w:val="0"/>
      <w:marTop w:val="0"/>
      <w:marBottom w:val="0"/>
      <w:divBdr>
        <w:top w:val="none" w:sz="0" w:space="0" w:color="auto"/>
        <w:left w:val="none" w:sz="0" w:space="0" w:color="auto"/>
        <w:bottom w:val="none" w:sz="0" w:space="0" w:color="auto"/>
        <w:right w:val="none" w:sz="0" w:space="0" w:color="auto"/>
      </w:divBdr>
    </w:div>
    <w:div w:id="1191722259">
      <w:bodyDiv w:val="1"/>
      <w:marLeft w:val="0"/>
      <w:marRight w:val="0"/>
      <w:marTop w:val="0"/>
      <w:marBottom w:val="0"/>
      <w:divBdr>
        <w:top w:val="none" w:sz="0" w:space="0" w:color="auto"/>
        <w:left w:val="none" w:sz="0" w:space="0" w:color="auto"/>
        <w:bottom w:val="none" w:sz="0" w:space="0" w:color="auto"/>
        <w:right w:val="none" w:sz="0" w:space="0" w:color="auto"/>
      </w:divBdr>
    </w:div>
    <w:div w:id="1193229347">
      <w:bodyDiv w:val="1"/>
      <w:marLeft w:val="0"/>
      <w:marRight w:val="0"/>
      <w:marTop w:val="0"/>
      <w:marBottom w:val="0"/>
      <w:divBdr>
        <w:top w:val="none" w:sz="0" w:space="0" w:color="auto"/>
        <w:left w:val="none" w:sz="0" w:space="0" w:color="auto"/>
        <w:bottom w:val="none" w:sz="0" w:space="0" w:color="auto"/>
        <w:right w:val="none" w:sz="0" w:space="0" w:color="auto"/>
      </w:divBdr>
    </w:div>
    <w:div w:id="1204172109">
      <w:bodyDiv w:val="1"/>
      <w:marLeft w:val="0"/>
      <w:marRight w:val="0"/>
      <w:marTop w:val="0"/>
      <w:marBottom w:val="0"/>
      <w:divBdr>
        <w:top w:val="none" w:sz="0" w:space="0" w:color="auto"/>
        <w:left w:val="none" w:sz="0" w:space="0" w:color="auto"/>
        <w:bottom w:val="none" w:sz="0" w:space="0" w:color="auto"/>
        <w:right w:val="none" w:sz="0" w:space="0" w:color="auto"/>
      </w:divBdr>
    </w:div>
    <w:div w:id="1227490018">
      <w:bodyDiv w:val="1"/>
      <w:marLeft w:val="0"/>
      <w:marRight w:val="0"/>
      <w:marTop w:val="0"/>
      <w:marBottom w:val="0"/>
      <w:divBdr>
        <w:top w:val="none" w:sz="0" w:space="0" w:color="auto"/>
        <w:left w:val="none" w:sz="0" w:space="0" w:color="auto"/>
        <w:bottom w:val="none" w:sz="0" w:space="0" w:color="auto"/>
        <w:right w:val="none" w:sz="0" w:space="0" w:color="auto"/>
      </w:divBdr>
    </w:div>
    <w:div w:id="1240673677">
      <w:bodyDiv w:val="1"/>
      <w:marLeft w:val="0"/>
      <w:marRight w:val="0"/>
      <w:marTop w:val="0"/>
      <w:marBottom w:val="0"/>
      <w:divBdr>
        <w:top w:val="none" w:sz="0" w:space="0" w:color="auto"/>
        <w:left w:val="none" w:sz="0" w:space="0" w:color="auto"/>
        <w:bottom w:val="none" w:sz="0" w:space="0" w:color="auto"/>
        <w:right w:val="none" w:sz="0" w:space="0" w:color="auto"/>
      </w:divBdr>
    </w:div>
    <w:div w:id="1243031673">
      <w:bodyDiv w:val="1"/>
      <w:marLeft w:val="0"/>
      <w:marRight w:val="0"/>
      <w:marTop w:val="0"/>
      <w:marBottom w:val="0"/>
      <w:divBdr>
        <w:top w:val="none" w:sz="0" w:space="0" w:color="auto"/>
        <w:left w:val="none" w:sz="0" w:space="0" w:color="auto"/>
        <w:bottom w:val="none" w:sz="0" w:space="0" w:color="auto"/>
        <w:right w:val="none" w:sz="0" w:space="0" w:color="auto"/>
      </w:divBdr>
    </w:div>
    <w:div w:id="1265959497">
      <w:bodyDiv w:val="1"/>
      <w:marLeft w:val="0"/>
      <w:marRight w:val="0"/>
      <w:marTop w:val="0"/>
      <w:marBottom w:val="0"/>
      <w:divBdr>
        <w:top w:val="none" w:sz="0" w:space="0" w:color="auto"/>
        <w:left w:val="none" w:sz="0" w:space="0" w:color="auto"/>
        <w:bottom w:val="none" w:sz="0" w:space="0" w:color="auto"/>
        <w:right w:val="none" w:sz="0" w:space="0" w:color="auto"/>
      </w:divBdr>
    </w:div>
    <w:div w:id="1268150166">
      <w:bodyDiv w:val="1"/>
      <w:marLeft w:val="0"/>
      <w:marRight w:val="0"/>
      <w:marTop w:val="0"/>
      <w:marBottom w:val="0"/>
      <w:divBdr>
        <w:top w:val="none" w:sz="0" w:space="0" w:color="auto"/>
        <w:left w:val="none" w:sz="0" w:space="0" w:color="auto"/>
        <w:bottom w:val="none" w:sz="0" w:space="0" w:color="auto"/>
        <w:right w:val="none" w:sz="0" w:space="0" w:color="auto"/>
      </w:divBdr>
    </w:div>
    <w:div w:id="1268658570">
      <w:bodyDiv w:val="1"/>
      <w:marLeft w:val="0"/>
      <w:marRight w:val="0"/>
      <w:marTop w:val="0"/>
      <w:marBottom w:val="0"/>
      <w:divBdr>
        <w:top w:val="none" w:sz="0" w:space="0" w:color="auto"/>
        <w:left w:val="none" w:sz="0" w:space="0" w:color="auto"/>
        <w:bottom w:val="none" w:sz="0" w:space="0" w:color="auto"/>
        <w:right w:val="none" w:sz="0" w:space="0" w:color="auto"/>
      </w:divBdr>
    </w:div>
    <w:div w:id="1269043965">
      <w:bodyDiv w:val="1"/>
      <w:marLeft w:val="0"/>
      <w:marRight w:val="0"/>
      <w:marTop w:val="0"/>
      <w:marBottom w:val="0"/>
      <w:divBdr>
        <w:top w:val="none" w:sz="0" w:space="0" w:color="auto"/>
        <w:left w:val="none" w:sz="0" w:space="0" w:color="auto"/>
        <w:bottom w:val="none" w:sz="0" w:space="0" w:color="auto"/>
        <w:right w:val="none" w:sz="0" w:space="0" w:color="auto"/>
      </w:divBdr>
    </w:div>
    <w:div w:id="1274752702">
      <w:bodyDiv w:val="1"/>
      <w:marLeft w:val="0"/>
      <w:marRight w:val="0"/>
      <w:marTop w:val="0"/>
      <w:marBottom w:val="0"/>
      <w:divBdr>
        <w:top w:val="none" w:sz="0" w:space="0" w:color="auto"/>
        <w:left w:val="none" w:sz="0" w:space="0" w:color="auto"/>
        <w:bottom w:val="none" w:sz="0" w:space="0" w:color="auto"/>
        <w:right w:val="none" w:sz="0" w:space="0" w:color="auto"/>
      </w:divBdr>
    </w:div>
    <w:div w:id="1282229241">
      <w:bodyDiv w:val="1"/>
      <w:marLeft w:val="0"/>
      <w:marRight w:val="0"/>
      <w:marTop w:val="0"/>
      <w:marBottom w:val="0"/>
      <w:divBdr>
        <w:top w:val="none" w:sz="0" w:space="0" w:color="auto"/>
        <w:left w:val="none" w:sz="0" w:space="0" w:color="auto"/>
        <w:bottom w:val="none" w:sz="0" w:space="0" w:color="auto"/>
        <w:right w:val="none" w:sz="0" w:space="0" w:color="auto"/>
      </w:divBdr>
    </w:div>
    <w:div w:id="1287269936">
      <w:bodyDiv w:val="1"/>
      <w:marLeft w:val="0"/>
      <w:marRight w:val="0"/>
      <w:marTop w:val="0"/>
      <w:marBottom w:val="0"/>
      <w:divBdr>
        <w:top w:val="none" w:sz="0" w:space="0" w:color="auto"/>
        <w:left w:val="none" w:sz="0" w:space="0" w:color="auto"/>
        <w:bottom w:val="none" w:sz="0" w:space="0" w:color="auto"/>
        <w:right w:val="none" w:sz="0" w:space="0" w:color="auto"/>
      </w:divBdr>
    </w:div>
    <w:div w:id="1289816255">
      <w:bodyDiv w:val="1"/>
      <w:marLeft w:val="0"/>
      <w:marRight w:val="0"/>
      <w:marTop w:val="0"/>
      <w:marBottom w:val="0"/>
      <w:divBdr>
        <w:top w:val="none" w:sz="0" w:space="0" w:color="auto"/>
        <w:left w:val="none" w:sz="0" w:space="0" w:color="auto"/>
        <w:bottom w:val="none" w:sz="0" w:space="0" w:color="auto"/>
        <w:right w:val="none" w:sz="0" w:space="0" w:color="auto"/>
      </w:divBdr>
    </w:div>
    <w:div w:id="1290622443">
      <w:bodyDiv w:val="1"/>
      <w:marLeft w:val="0"/>
      <w:marRight w:val="0"/>
      <w:marTop w:val="0"/>
      <w:marBottom w:val="0"/>
      <w:divBdr>
        <w:top w:val="none" w:sz="0" w:space="0" w:color="auto"/>
        <w:left w:val="none" w:sz="0" w:space="0" w:color="auto"/>
        <w:bottom w:val="none" w:sz="0" w:space="0" w:color="auto"/>
        <w:right w:val="none" w:sz="0" w:space="0" w:color="auto"/>
      </w:divBdr>
    </w:div>
    <w:div w:id="1293363667">
      <w:bodyDiv w:val="1"/>
      <w:marLeft w:val="0"/>
      <w:marRight w:val="0"/>
      <w:marTop w:val="0"/>
      <w:marBottom w:val="0"/>
      <w:divBdr>
        <w:top w:val="none" w:sz="0" w:space="0" w:color="auto"/>
        <w:left w:val="none" w:sz="0" w:space="0" w:color="auto"/>
        <w:bottom w:val="none" w:sz="0" w:space="0" w:color="auto"/>
        <w:right w:val="none" w:sz="0" w:space="0" w:color="auto"/>
      </w:divBdr>
    </w:div>
    <w:div w:id="1294292504">
      <w:bodyDiv w:val="1"/>
      <w:marLeft w:val="0"/>
      <w:marRight w:val="0"/>
      <w:marTop w:val="0"/>
      <w:marBottom w:val="0"/>
      <w:divBdr>
        <w:top w:val="none" w:sz="0" w:space="0" w:color="auto"/>
        <w:left w:val="none" w:sz="0" w:space="0" w:color="auto"/>
        <w:bottom w:val="none" w:sz="0" w:space="0" w:color="auto"/>
        <w:right w:val="none" w:sz="0" w:space="0" w:color="auto"/>
      </w:divBdr>
    </w:div>
    <w:div w:id="1295870486">
      <w:bodyDiv w:val="1"/>
      <w:marLeft w:val="0"/>
      <w:marRight w:val="0"/>
      <w:marTop w:val="0"/>
      <w:marBottom w:val="0"/>
      <w:divBdr>
        <w:top w:val="none" w:sz="0" w:space="0" w:color="auto"/>
        <w:left w:val="none" w:sz="0" w:space="0" w:color="auto"/>
        <w:bottom w:val="none" w:sz="0" w:space="0" w:color="auto"/>
        <w:right w:val="none" w:sz="0" w:space="0" w:color="auto"/>
      </w:divBdr>
    </w:div>
    <w:div w:id="1310020071">
      <w:bodyDiv w:val="1"/>
      <w:marLeft w:val="0"/>
      <w:marRight w:val="0"/>
      <w:marTop w:val="0"/>
      <w:marBottom w:val="0"/>
      <w:divBdr>
        <w:top w:val="none" w:sz="0" w:space="0" w:color="auto"/>
        <w:left w:val="none" w:sz="0" w:space="0" w:color="auto"/>
        <w:bottom w:val="none" w:sz="0" w:space="0" w:color="auto"/>
        <w:right w:val="none" w:sz="0" w:space="0" w:color="auto"/>
      </w:divBdr>
    </w:div>
    <w:div w:id="1314795647">
      <w:bodyDiv w:val="1"/>
      <w:marLeft w:val="0"/>
      <w:marRight w:val="0"/>
      <w:marTop w:val="0"/>
      <w:marBottom w:val="0"/>
      <w:divBdr>
        <w:top w:val="none" w:sz="0" w:space="0" w:color="auto"/>
        <w:left w:val="none" w:sz="0" w:space="0" w:color="auto"/>
        <w:bottom w:val="none" w:sz="0" w:space="0" w:color="auto"/>
        <w:right w:val="none" w:sz="0" w:space="0" w:color="auto"/>
      </w:divBdr>
    </w:div>
    <w:div w:id="1318607832">
      <w:bodyDiv w:val="1"/>
      <w:marLeft w:val="0"/>
      <w:marRight w:val="0"/>
      <w:marTop w:val="0"/>
      <w:marBottom w:val="0"/>
      <w:divBdr>
        <w:top w:val="none" w:sz="0" w:space="0" w:color="auto"/>
        <w:left w:val="none" w:sz="0" w:space="0" w:color="auto"/>
        <w:bottom w:val="none" w:sz="0" w:space="0" w:color="auto"/>
        <w:right w:val="none" w:sz="0" w:space="0" w:color="auto"/>
      </w:divBdr>
    </w:div>
    <w:div w:id="1322078684">
      <w:bodyDiv w:val="1"/>
      <w:marLeft w:val="0"/>
      <w:marRight w:val="0"/>
      <w:marTop w:val="0"/>
      <w:marBottom w:val="0"/>
      <w:divBdr>
        <w:top w:val="none" w:sz="0" w:space="0" w:color="auto"/>
        <w:left w:val="none" w:sz="0" w:space="0" w:color="auto"/>
        <w:bottom w:val="none" w:sz="0" w:space="0" w:color="auto"/>
        <w:right w:val="none" w:sz="0" w:space="0" w:color="auto"/>
      </w:divBdr>
    </w:div>
    <w:div w:id="1322387382">
      <w:bodyDiv w:val="1"/>
      <w:marLeft w:val="0"/>
      <w:marRight w:val="0"/>
      <w:marTop w:val="0"/>
      <w:marBottom w:val="0"/>
      <w:divBdr>
        <w:top w:val="none" w:sz="0" w:space="0" w:color="auto"/>
        <w:left w:val="none" w:sz="0" w:space="0" w:color="auto"/>
        <w:bottom w:val="none" w:sz="0" w:space="0" w:color="auto"/>
        <w:right w:val="none" w:sz="0" w:space="0" w:color="auto"/>
      </w:divBdr>
    </w:div>
    <w:div w:id="1327708440">
      <w:bodyDiv w:val="1"/>
      <w:marLeft w:val="0"/>
      <w:marRight w:val="0"/>
      <w:marTop w:val="0"/>
      <w:marBottom w:val="0"/>
      <w:divBdr>
        <w:top w:val="none" w:sz="0" w:space="0" w:color="auto"/>
        <w:left w:val="none" w:sz="0" w:space="0" w:color="auto"/>
        <w:bottom w:val="none" w:sz="0" w:space="0" w:color="auto"/>
        <w:right w:val="none" w:sz="0" w:space="0" w:color="auto"/>
      </w:divBdr>
    </w:div>
    <w:div w:id="1336883093">
      <w:bodyDiv w:val="1"/>
      <w:marLeft w:val="0"/>
      <w:marRight w:val="0"/>
      <w:marTop w:val="0"/>
      <w:marBottom w:val="0"/>
      <w:divBdr>
        <w:top w:val="none" w:sz="0" w:space="0" w:color="auto"/>
        <w:left w:val="none" w:sz="0" w:space="0" w:color="auto"/>
        <w:bottom w:val="none" w:sz="0" w:space="0" w:color="auto"/>
        <w:right w:val="none" w:sz="0" w:space="0" w:color="auto"/>
      </w:divBdr>
    </w:div>
    <w:div w:id="1351563956">
      <w:bodyDiv w:val="1"/>
      <w:marLeft w:val="0"/>
      <w:marRight w:val="0"/>
      <w:marTop w:val="0"/>
      <w:marBottom w:val="0"/>
      <w:divBdr>
        <w:top w:val="none" w:sz="0" w:space="0" w:color="auto"/>
        <w:left w:val="none" w:sz="0" w:space="0" w:color="auto"/>
        <w:bottom w:val="none" w:sz="0" w:space="0" w:color="auto"/>
        <w:right w:val="none" w:sz="0" w:space="0" w:color="auto"/>
      </w:divBdr>
    </w:div>
    <w:div w:id="1355692695">
      <w:bodyDiv w:val="1"/>
      <w:marLeft w:val="0"/>
      <w:marRight w:val="0"/>
      <w:marTop w:val="0"/>
      <w:marBottom w:val="0"/>
      <w:divBdr>
        <w:top w:val="none" w:sz="0" w:space="0" w:color="auto"/>
        <w:left w:val="none" w:sz="0" w:space="0" w:color="auto"/>
        <w:bottom w:val="none" w:sz="0" w:space="0" w:color="auto"/>
        <w:right w:val="none" w:sz="0" w:space="0" w:color="auto"/>
      </w:divBdr>
    </w:div>
    <w:div w:id="1356926940">
      <w:bodyDiv w:val="1"/>
      <w:marLeft w:val="0"/>
      <w:marRight w:val="0"/>
      <w:marTop w:val="0"/>
      <w:marBottom w:val="0"/>
      <w:divBdr>
        <w:top w:val="none" w:sz="0" w:space="0" w:color="auto"/>
        <w:left w:val="none" w:sz="0" w:space="0" w:color="auto"/>
        <w:bottom w:val="none" w:sz="0" w:space="0" w:color="auto"/>
        <w:right w:val="none" w:sz="0" w:space="0" w:color="auto"/>
      </w:divBdr>
    </w:div>
    <w:div w:id="1366519853">
      <w:bodyDiv w:val="1"/>
      <w:marLeft w:val="0"/>
      <w:marRight w:val="0"/>
      <w:marTop w:val="0"/>
      <w:marBottom w:val="0"/>
      <w:divBdr>
        <w:top w:val="none" w:sz="0" w:space="0" w:color="auto"/>
        <w:left w:val="none" w:sz="0" w:space="0" w:color="auto"/>
        <w:bottom w:val="none" w:sz="0" w:space="0" w:color="auto"/>
        <w:right w:val="none" w:sz="0" w:space="0" w:color="auto"/>
      </w:divBdr>
    </w:div>
    <w:div w:id="1388257772">
      <w:bodyDiv w:val="1"/>
      <w:marLeft w:val="0"/>
      <w:marRight w:val="0"/>
      <w:marTop w:val="0"/>
      <w:marBottom w:val="0"/>
      <w:divBdr>
        <w:top w:val="none" w:sz="0" w:space="0" w:color="auto"/>
        <w:left w:val="none" w:sz="0" w:space="0" w:color="auto"/>
        <w:bottom w:val="none" w:sz="0" w:space="0" w:color="auto"/>
        <w:right w:val="none" w:sz="0" w:space="0" w:color="auto"/>
      </w:divBdr>
    </w:div>
    <w:div w:id="1389499223">
      <w:bodyDiv w:val="1"/>
      <w:marLeft w:val="0"/>
      <w:marRight w:val="0"/>
      <w:marTop w:val="0"/>
      <w:marBottom w:val="0"/>
      <w:divBdr>
        <w:top w:val="none" w:sz="0" w:space="0" w:color="auto"/>
        <w:left w:val="none" w:sz="0" w:space="0" w:color="auto"/>
        <w:bottom w:val="none" w:sz="0" w:space="0" w:color="auto"/>
        <w:right w:val="none" w:sz="0" w:space="0" w:color="auto"/>
      </w:divBdr>
      <w:divsChild>
        <w:div w:id="531456680">
          <w:marLeft w:val="1166"/>
          <w:marRight w:val="0"/>
          <w:marTop w:val="125"/>
          <w:marBottom w:val="0"/>
          <w:divBdr>
            <w:top w:val="none" w:sz="0" w:space="0" w:color="auto"/>
            <w:left w:val="none" w:sz="0" w:space="0" w:color="auto"/>
            <w:bottom w:val="none" w:sz="0" w:space="0" w:color="auto"/>
            <w:right w:val="none" w:sz="0" w:space="0" w:color="auto"/>
          </w:divBdr>
        </w:div>
        <w:div w:id="798913684">
          <w:marLeft w:val="1166"/>
          <w:marRight w:val="0"/>
          <w:marTop w:val="125"/>
          <w:marBottom w:val="0"/>
          <w:divBdr>
            <w:top w:val="none" w:sz="0" w:space="0" w:color="auto"/>
            <w:left w:val="none" w:sz="0" w:space="0" w:color="auto"/>
            <w:bottom w:val="none" w:sz="0" w:space="0" w:color="auto"/>
            <w:right w:val="none" w:sz="0" w:space="0" w:color="auto"/>
          </w:divBdr>
        </w:div>
        <w:div w:id="1638026511">
          <w:marLeft w:val="1166"/>
          <w:marRight w:val="0"/>
          <w:marTop w:val="125"/>
          <w:marBottom w:val="0"/>
          <w:divBdr>
            <w:top w:val="none" w:sz="0" w:space="0" w:color="auto"/>
            <w:left w:val="none" w:sz="0" w:space="0" w:color="auto"/>
            <w:bottom w:val="none" w:sz="0" w:space="0" w:color="auto"/>
            <w:right w:val="none" w:sz="0" w:space="0" w:color="auto"/>
          </w:divBdr>
        </w:div>
        <w:div w:id="2032559988">
          <w:marLeft w:val="1166"/>
          <w:marRight w:val="0"/>
          <w:marTop w:val="125"/>
          <w:marBottom w:val="0"/>
          <w:divBdr>
            <w:top w:val="none" w:sz="0" w:space="0" w:color="auto"/>
            <w:left w:val="none" w:sz="0" w:space="0" w:color="auto"/>
            <w:bottom w:val="none" w:sz="0" w:space="0" w:color="auto"/>
            <w:right w:val="none" w:sz="0" w:space="0" w:color="auto"/>
          </w:divBdr>
        </w:div>
        <w:div w:id="2074115118">
          <w:marLeft w:val="1166"/>
          <w:marRight w:val="0"/>
          <w:marTop w:val="125"/>
          <w:marBottom w:val="0"/>
          <w:divBdr>
            <w:top w:val="none" w:sz="0" w:space="0" w:color="auto"/>
            <w:left w:val="none" w:sz="0" w:space="0" w:color="auto"/>
            <w:bottom w:val="none" w:sz="0" w:space="0" w:color="auto"/>
            <w:right w:val="none" w:sz="0" w:space="0" w:color="auto"/>
          </w:divBdr>
        </w:div>
      </w:divsChild>
    </w:div>
    <w:div w:id="1403329251">
      <w:bodyDiv w:val="1"/>
      <w:marLeft w:val="0"/>
      <w:marRight w:val="0"/>
      <w:marTop w:val="0"/>
      <w:marBottom w:val="0"/>
      <w:divBdr>
        <w:top w:val="none" w:sz="0" w:space="0" w:color="auto"/>
        <w:left w:val="none" w:sz="0" w:space="0" w:color="auto"/>
        <w:bottom w:val="none" w:sz="0" w:space="0" w:color="auto"/>
        <w:right w:val="none" w:sz="0" w:space="0" w:color="auto"/>
      </w:divBdr>
    </w:div>
    <w:div w:id="1406490719">
      <w:bodyDiv w:val="1"/>
      <w:marLeft w:val="0"/>
      <w:marRight w:val="0"/>
      <w:marTop w:val="0"/>
      <w:marBottom w:val="0"/>
      <w:divBdr>
        <w:top w:val="none" w:sz="0" w:space="0" w:color="auto"/>
        <w:left w:val="none" w:sz="0" w:space="0" w:color="auto"/>
        <w:bottom w:val="none" w:sz="0" w:space="0" w:color="auto"/>
        <w:right w:val="none" w:sz="0" w:space="0" w:color="auto"/>
      </w:divBdr>
    </w:div>
    <w:div w:id="1413893599">
      <w:bodyDiv w:val="1"/>
      <w:marLeft w:val="0"/>
      <w:marRight w:val="0"/>
      <w:marTop w:val="0"/>
      <w:marBottom w:val="0"/>
      <w:divBdr>
        <w:top w:val="none" w:sz="0" w:space="0" w:color="auto"/>
        <w:left w:val="none" w:sz="0" w:space="0" w:color="auto"/>
        <w:bottom w:val="none" w:sz="0" w:space="0" w:color="auto"/>
        <w:right w:val="none" w:sz="0" w:space="0" w:color="auto"/>
      </w:divBdr>
    </w:div>
    <w:div w:id="1422602765">
      <w:bodyDiv w:val="1"/>
      <w:marLeft w:val="0"/>
      <w:marRight w:val="0"/>
      <w:marTop w:val="0"/>
      <w:marBottom w:val="0"/>
      <w:divBdr>
        <w:top w:val="none" w:sz="0" w:space="0" w:color="auto"/>
        <w:left w:val="none" w:sz="0" w:space="0" w:color="auto"/>
        <w:bottom w:val="none" w:sz="0" w:space="0" w:color="auto"/>
        <w:right w:val="none" w:sz="0" w:space="0" w:color="auto"/>
      </w:divBdr>
    </w:div>
    <w:div w:id="1449470324">
      <w:bodyDiv w:val="1"/>
      <w:marLeft w:val="0"/>
      <w:marRight w:val="0"/>
      <w:marTop w:val="0"/>
      <w:marBottom w:val="0"/>
      <w:divBdr>
        <w:top w:val="none" w:sz="0" w:space="0" w:color="auto"/>
        <w:left w:val="none" w:sz="0" w:space="0" w:color="auto"/>
        <w:bottom w:val="none" w:sz="0" w:space="0" w:color="auto"/>
        <w:right w:val="none" w:sz="0" w:space="0" w:color="auto"/>
      </w:divBdr>
    </w:div>
    <w:div w:id="1454247650">
      <w:bodyDiv w:val="1"/>
      <w:marLeft w:val="0"/>
      <w:marRight w:val="0"/>
      <w:marTop w:val="0"/>
      <w:marBottom w:val="0"/>
      <w:divBdr>
        <w:top w:val="none" w:sz="0" w:space="0" w:color="auto"/>
        <w:left w:val="none" w:sz="0" w:space="0" w:color="auto"/>
        <w:bottom w:val="none" w:sz="0" w:space="0" w:color="auto"/>
        <w:right w:val="none" w:sz="0" w:space="0" w:color="auto"/>
      </w:divBdr>
    </w:div>
    <w:div w:id="1463768588">
      <w:bodyDiv w:val="1"/>
      <w:marLeft w:val="0"/>
      <w:marRight w:val="0"/>
      <w:marTop w:val="0"/>
      <w:marBottom w:val="0"/>
      <w:divBdr>
        <w:top w:val="none" w:sz="0" w:space="0" w:color="auto"/>
        <w:left w:val="none" w:sz="0" w:space="0" w:color="auto"/>
        <w:bottom w:val="none" w:sz="0" w:space="0" w:color="auto"/>
        <w:right w:val="none" w:sz="0" w:space="0" w:color="auto"/>
      </w:divBdr>
    </w:div>
    <w:div w:id="1475096245">
      <w:bodyDiv w:val="1"/>
      <w:marLeft w:val="0"/>
      <w:marRight w:val="0"/>
      <w:marTop w:val="0"/>
      <w:marBottom w:val="0"/>
      <w:divBdr>
        <w:top w:val="none" w:sz="0" w:space="0" w:color="auto"/>
        <w:left w:val="none" w:sz="0" w:space="0" w:color="auto"/>
        <w:bottom w:val="none" w:sz="0" w:space="0" w:color="auto"/>
        <w:right w:val="none" w:sz="0" w:space="0" w:color="auto"/>
      </w:divBdr>
    </w:div>
    <w:div w:id="1485390327">
      <w:bodyDiv w:val="1"/>
      <w:marLeft w:val="0"/>
      <w:marRight w:val="0"/>
      <w:marTop w:val="0"/>
      <w:marBottom w:val="0"/>
      <w:divBdr>
        <w:top w:val="none" w:sz="0" w:space="0" w:color="auto"/>
        <w:left w:val="none" w:sz="0" w:space="0" w:color="auto"/>
        <w:bottom w:val="none" w:sz="0" w:space="0" w:color="auto"/>
        <w:right w:val="none" w:sz="0" w:space="0" w:color="auto"/>
      </w:divBdr>
    </w:div>
    <w:div w:id="1489979679">
      <w:bodyDiv w:val="1"/>
      <w:marLeft w:val="0"/>
      <w:marRight w:val="0"/>
      <w:marTop w:val="0"/>
      <w:marBottom w:val="0"/>
      <w:divBdr>
        <w:top w:val="none" w:sz="0" w:space="0" w:color="auto"/>
        <w:left w:val="none" w:sz="0" w:space="0" w:color="auto"/>
        <w:bottom w:val="none" w:sz="0" w:space="0" w:color="auto"/>
        <w:right w:val="none" w:sz="0" w:space="0" w:color="auto"/>
      </w:divBdr>
    </w:div>
    <w:div w:id="1492939353">
      <w:bodyDiv w:val="1"/>
      <w:marLeft w:val="0"/>
      <w:marRight w:val="0"/>
      <w:marTop w:val="0"/>
      <w:marBottom w:val="0"/>
      <w:divBdr>
        <w:top w:val="none" w:sz="0" w:space="0" w:color="auto"/>
        <w:left w:val="none" w:sz="0" w:space="0" w:color="auto"/>
        <w:bottom w:val="none" w:sz="0" w:space="0" w:color="auto"/>
        <w:right w:val="none" w:sz="0" w:space="0" w:color="auto"/>
      </w:divBdr>
    </w:div>
    <w:div w:id="1493335040">
      <w:bodyDiv w:val="1"/>
      <w:marLeft w:val="0"/>
      <w:marRight w:val="0"/>
      <w:marTop w:val="0"/>
      <w:marBottom w:val="0"/>
      <w:divBdr>
        <w:top w:val="none" w:sz="0" w:space="0" w:color="auto"/>
        <w:left w:val="none" w:sz="0" w:space="0" w:color="auto"/>
        <w:bottom w:val="none" w:sz="0" w:space="0" w:color="auto"/>
        <w:right w:val="none" w:sz="0" w:space="0" w:color="auto"/>
      </w:divBdr>
    </w:div>
    <w:div w:id="1499226192">
      <w:bodyDiv w:val="1"/>
      <w:marLeft w:val="0"/>
      <w:marRight w:val="0"/>
      <w:marTop w:val="0"/>
      <w:marBottom w:val="0"/>
      <w:divBdr>
        <w:top w:val="none" w:sz="0" w:space="0" w:color="auto"/>
        <w:left w:val="none" w:sz="0" w:space="0" w:color="auto"/>
        <w:bottom w:val="none" w:sz="0" w:space="0" w:color="auto"/>
        <w:right w:val="none" w:sz="0" w:space="0" w:color="auto"/>
      </w:divBdr>
    </w:div>
    <w:div w:id="1501312516">
      <w:bodyDiv w:val="1"/>
      <w:marLeft w:val="0"/>
      <w:marRight w:val="0"/>
      <w:marTop w:val="0"/>
      <w:marBottom w:val="0"/>
      <w:divBdr>
        <w:top w:val="none" w:sz="0" w:space="0" w:color="auto"/>
        <w:left w:val="none" w:sz="0" w:space="0" w:color="auto"/>
        <w:bottom w:val="none" w:sz="0" w:space="0" w:color="auto"/>
        <w:right w:val="none" w:sz="0" w:space="0" w:color="auto"/>
      </w:divBdr>
    </w:div>
    <w:div w:id="1502310354">
      <w:bodyDiv w:val="1"/>
      <w:marLeft w:val="0"/>
      <w:marRight w:val="0"/>
      <w:marTop w:val="0"/>
      <w:marBottom w:val="0"/>
      <w:divBdr>
        <w:top w:val="none" w:sz="0" w:space="0" w:color="auto"/>
        <w:left w:val="none" w:sz="0" w:space="0" w:color="auto"/>
        <w:bottom w:val="none" w:sz="0" w:space="0" w:color="auto"/>
        <w:right w:val="none" w:sz="0" w:space="0" w:color="auto"/>
      </w:divBdr>
    </w:div>
    <w:div w:id="1503856694">
      <w:bodyDiv w:val="1"/>
      <w:marLeft w:val="0"/>
      <w:marRight w:val="0"/>
      <w:marTop w:val="0"/>
      <w:marBottom w:val="0"/>
      <w:divBdr>
        <w:top w:val="none" w:sz="0" w:space="0" w:color="auto"/>
        <w:left w:val="none" w:sz="0" w:space="0" w:color="auto"/>
        <w:bottom w:val="none" w:sz="0" w:space="0" w:color="auto"/>
        <w:right w:val="none" w:sz="0" w:space="0" w:color="auto"/>
      </w:divBdr>
    </w:div>
    <w:div w:id="1504512951">
      <w:bodyDiv w:val="1"/>
      <w:marLeft w:val="0"/>
      <w:marRight w:val="0"/>
      <w:marTop w:val="0"/>
      <w:marBottom w:val="0"/>
      <w:divBdr>
        <w:top w:val="none" w:sz="0" w:space="0" w:color="auto"/>
        <w:left w:val="none" w:sz="0" w:space="0" w:color="auto"/>
        <w:bottom w:val="none" w:sz="0" w:space="0" w:color="auto"/>
        <w:right w:val="none" w:sz="0" w:space="0" w:color="auto"/>
      </w:divBdr>
    </w:div>
    <w:div w:id="1505825605">
      <w:bodyDiv w:val="1"/>
      <w:marLeft w:val="0"/>
      <w:marRight w:val="0"/>
      <w:marTop w:val="0"/>
      <w:marBottom w:val="0"/>
      <w:divBdr>
        <w:top w:val="none" w:sz="0" w:space="0" w:color="auto"/>
        <w:left w:val="none" w:sz="0" w:space="0" w:color="auto"/>
        <w:bottom w:val="none" w:sz="0" w:space="0" w:color="auto"/>
        <w:right w:val="none" w:sz="0" w:space="0" w:color="auto"/>
      </w:divBdr>
    </w:div>
    <w:div w:id="1510830958">
      <w:bodyDiv w:val="1"/>
      <w:marLeft w:val="0"/>
      <w:marRight w:val="0"/>
      <w:marTop w:val="0"/>
      <w:marBottom w:val="0"/>
      <w:divBdr>
        <w:top w:val="none" w:sz="0" w:space="0" w:color="auto"/>
        <w:left w:val="none" w:sz="0" w:space="0" w:color="auto"/>
        <w:bottom w:val="none" w:sz="0" w:space="0" w:color="auto"/>
        <w:right w:val="none" w:sz="0" w:space="0" w:color="auto"/>
      </w:divBdr>
    </w:div>
    <w:div w:id="1521699882">
      <w:bodyDiv w:val="1"/>
      <w:marLeft w:val="0"/>
      <w:marRight w:val="0"/>
      <w:marTop w:val="0"/>
      <w:marBottom w:val="0"/>
      <w:divBdr>
        <w:top w:val="none" w:sz="0" w:space="0" w:color="auto"/>
        <w:left w:val="none" w:sz="0" w:space="0" w:color="auto"/>
        <w:bottom w:val="none" w:sz="0" w:space="0" w:color="auto"/>
        <w:right w:val="none" w:sz="0" w:space="0" w:color="auto"/>
      </w:divBdr>
    </w:div>
    <w:div w:id="1522737642">
      <w:bodyDiv w:val="1"/>
      <w:marLeft w:val="0"/>
      <w:marRight w:val="0"/>
      <w:marTop w:val="0"/>
      <w:marBottom w:val="0"/>
      <w:divBdr>
        <w:top w:val="none" w:sz="0" w:space="0" w:color="auto"/>
        <w:left w:val="none" w:sz="0" w:space="0" w:color="auto"/>
        <w:bottom w:val="none" w:sz="0" w:space="0" w:color="auto"/>
        <w:right w:val="none" w:sz="0" w:space="0" w:color="auto"/>
      </w:divBdr>
    </w:div>
    <w:div w:id="1527210415">
      <w:bodyDiv w:val="1"/>
      <w:marLeft w:val="0"/>
      <w:marRight w:val="0"/>
      <w:marTop w:val="0"/>
      <w:marBottom w:val="0"/>
      <w:divBdr>
        <w:top w:val="none" w:sz="0" w:space="0" w:color="auto"/>
        <w:left w:val="none" w:sz="0" w:space="0" w:color="auto"/>
        <w:bottom w:val="none" w:sz="0" w:space="0" w:color="auto"/>
        <w:right w:val="none" w:sz="0" w:space="0" w:color="auto"/>
      </w:divBdr>
    </w:div>
    <w:div w:id="1536887903">
      <w:bodyDiv w:val="1"/>
      <w:marLeft w:val="0"/>
      <w:marRight w:val="0"/>
      <w:marTop w:val="0"/>
      <w:marBottom w:val="0"/>
      <w:divBdr>
        <w:top w:val="none" w:sz="0" w:space="0" w:color="auto"/>
        <w:left w:val="none" w:sz="0" w:space="0" w:color="auto"/>
        <w:bottom w:val="none" w:sz="0" w:space="0" w:color="auto"/>
        <w:right w:val="none" w:sz="0" w:space="0" w:color="auto"/>
      </w:divBdr>
    </w:div>
    <w:div w:id="1545756502">
      <w:bodyDiv w:val="1"/>
      <w:marLeft w:val="0"/>
      <w:marRight w:val="0"/>
      <w:marTop w:val="0"/>
      <w:marBottom w:val="0"/>
      <w:divBdr>
        <w:top w:val="none" w:sz="0" w:space="0" w:color="auto"/>
        <w:left w:val="none" w:sz="0" w:space="0" w:color="auto"/>
        <w:bottom w:val="none" w:sz="0" w:space="0" w:color="auto"/>
        <w:right w:val="none" w:sz="0" w:space="0" w:color="auto"/>
      </w:divBdr>
    </w:div>
    <w:div w:id="1551770264">
      <w:bodyDiv w:val="1"/>
      <w:marLeft w:val="0"/>
      <w:marRight w:val="0"/>
      <w:marTop w:val="0"/>
      <w:marBottom w:val="0"/>
      <w:divBdr>
        <w:top w:val="none" w:sz="0" w:space="0" w:color="auto"/>
        <w:left w:val="none" w:sz="0" w:space="0" w:color="auto"/>
        <w:bottom w:val="none" w:sz="0" w:space="0" w:color="auto"/>
        <w:right w:val="none" w:sz="0" w:space="0" w:color="auto"/>
      </w:divBdr>
    </w:div>
    <w:div w:id="1552224681">
      <w:bodyDiv w:val="1"/>
      <w:marLeft w:val="0"/>
      <w:marRight w:val="0"/>
      <w:marTop w:val="0"/>
      <w:marBottom w:val="0"/>
      <w:divBdr>
        <w:top w:val="none" w:sz="0" w:space="0" w:color="auto"/>
        <w:left w:val="none" w:sz="0" w:space="0" w:color="auto"/>
        <w:bottom w:val="none" w:sz="0" w:space="0" w:color="auto"/>
        <w:right w:val="none" w:sz="0" w:space="0" w:color="auto"/>
      </w:divBdr>
    </w:div>
    <w:div w:id="1555854388">
      <w:bodyDiv w:val="1"/>
      <w:marLeft w:val="0"/>
      <w:marRight w:val="0"/>
      <w:marTop w:val="0"/>
      <w:marBottom w:val="0"/>
      <w:divBdr>
        <w:top w:val="none" w:sz="0" w:space="0" w:color="auto"/>
        <w:left w:val="none" w:sz="0" w:space="0" w:color="auto"/>
        <w:bottom w:val="none" w:sz="0" w:space="0" w:color="auto"/>
        <w:right w:val="none" w:sz="0" w:space="0" w:color="auto"/>
      </w:divBdr>
    </w:div>
    <w:div w:id="1560051233">
      <w:bodyDiv w:val="1"/>
      <w:marLeft w:val="0"/>
      <w:marRight w:val="0"/>
      <w:marTop w:val="0"/>
      <w:marBottom w:val="0"/>
      <w:divBdr>
        <w:top w:val="none" w:sz="0" w:space="0" w:color="auto"/>
        <w:left w:val="none" w:sz="0" w:space="0" w:color="auto"/>
        <w:bottom w:val="none" w:sz="0" w:space="0" w:color="auto"/>
        <w:right w:val="none" w:sz="0" w:space="0" w:color="auto"/>
      </w:divBdr>
    </w:div>
    <w:div w:id="1560243036">
      <w:bodyDiv w:val="1"/>
      <w:marLeft w:val="0"/>
      <w:marRight w:val="0"/>
      <w:marTop w:val="0"/>
      <w:marBottom w:val="0"/>
      <w:divBdr>
        <w:top w:val="none" w:sz="0" w:space="0" w:color="auto"/>
        <w:left w:val="none" w:sz="0" w:space="0" w:color="auto"/>
        <w:bottom w:val="none" w:sz="0" w:space="0" w:color="auto"/>
        <w:right w:val="none" w:sz="0" w:space="0" w:color="auto"/>
      </w:divBdr>
    </w:div>
    <w:div w:id="1572157553">
      <w:bodyDiv w:val="1"/>
      <w:marLeft w:val="0"/>
      <w:marRight w:val="0"/>
      <w:marTop w:val="0"/>
      <w:marBottom w:val="0"/>
      <w:divBdr>
        <w:top w:val="none" w:sz="0" w:space="0" w:color="auto"/>
        <w:left w:val="none" w:sz="0" w:space="0" w:color="auto"/>
        <w:bottom w:val="none" w:sz="0" w:space="0" w:color="auto"/>
        <w:right w:val="none" w:sz="0" w:space="0" w:color="auto"/>
      </w:divBdr>
    </w:div>
    <w:div w:id="1576546589">
      <w:bodyDiv w:val="1"/>
      <w:marLeft w:val="0"/>
      <w:marRight w:val="0"/>
      <w:marTop w:val="0"/>
      <w:marBottom w:val="0"/>
      <w:divBdr>
        <w:top w:val="none" w:sz="0" w:space="0" w:color="auto"/>
        <w:left w:val="none" w:sz="0" w:space="0" w:color="auto"/>
        <w:bottom w:val="none" w:sz="0" w:space="0" w:color="auto"/>
        <w:right w:val="none" w:sz="0" w:space="0" w:color="auto"/>
      </w:divBdr>
    </w:div>
    <w:div w:id="1584073177">
      <w:bodyDiv w:val="1"/>
      <w:marLeft w:val="0"/>
      <w:marRight w:val="0"/>
      <w:marTop w:val="0"/>
      <w:marBottom w:val="0"/>
      <w:divBdr>
        <w:top w:val="none" w:sz="0" w:space="0" w:color="auto"/>
        <w:left w:val="none" w:sz="0" w:space="0" w:color="auto"/>
        <w:bottom w:val="none" w:sz="0" w:space="0" w:color="auto"/>
        <w:right w:val="none" w:sz="0" w:space="0" w:color="auto"/>
      </w:divBdr>
    </w:div>
    <w:div w:id="1594629391">
      <w:bodyDiv w:val="1"/>
      <w:marLeft w:val="0"/>
      <w:marRight w:val="0"/>
      <w:marTop w:val="0"/>
      <w:marBottom w:val="0"/>
      <w:divBdr>
        <w:top w:val="none" w:sz="0" w:space="0" w:color="auto"/>
        <w:left w:val="none" w:sz="0" w:space="0" w:color="auto"/>
        <w:bottom w:val="none" w:sz="0" w:space="0" w:color="auto"/>
        <w:right w:val="none" w:sz="0" w:space="0" w:color="auto"/>
      </w:divBdr>
    </w:div>
    <w:div w:id="1597133767">
      <w:bodyDiv w:val="1"/>
      <w:marLeft w:val="0"/>
      <w:marRight w:val="0"/>
      <w:marTop w:val="0"/>
      <w:marBottom w:val="0"/>
      <w:divBdr>
        <w:top w:val="none" w:sz="0" w:space="0" w:color="auto"/>
        <w:left w:val="none" w:sz="0" w:space="0" w:color="auto"/>
        <w:bottom w:val="none" w:sz="0" w:space="0" w:color="auto"/>
        <w:right w:val="none" w:sz="0" w:space="0" w:color="auto"/>
      </w:divBdr>
    </w:div>
    <w:div w:id="1609967422">
      <w:bodyDiv w:val="1"/>
      <w:marLeft w:val="0"/>
      <w:marRight w:val="0"/>
      <w:marTop w:val="0"/>
      <w:marBottom w:val="0"/>
      <w:divBdr>
        <w:top w:val="none" w:sz="0" w:space="0" w:color="auto"/>
        <w:left w:val="none" w:sz="0" w:space="0" w:color="auto"/>
        <w:bottom w:val="none" w:sz="0" w:space="0" w:color="auto"/>
        <w:right w:val="none" w:sz="0" w:space="0" w:color="auto"/>
      </w:divBdr>
    </w:div>
    <w:div w:id="1620839272">
      <w:bodyDiv w:val="1"/>
      <w:marLeft w:val="0"/>
      <w:marRight w:val="0"/>
      <w:marTop w:val="0"/>
      <w:marBottom w:val="0"/>
      <w:divBdr>
        <w:top w:val="none" w:sz="0" w:space="0" w:color="auto"/>
        <w:left w:val="none" w:sz="0" w:space="0" w:color="auto"/>
        <w:bottom w:val="none" w:sz="0" w:space="0" w:color="auto"/>
        <w:right w:val="none" w:sz="0" w:space="0" w:color="auto"/>
      </w:divBdr>
    </w:div>
    <w:div w:id="1622878902">
      <w:bodyDiv w:val="1"/>
      <w:marLeft w:val="0"/>
      <w:marRight w:val="0"/>
      <w:marTop w:val="0"/>
      <w:marBottom w:val="0"/>
      <w:divBdr>
        <w:top w:val="none" w:sz="0" w:space="0" w:color="auto"/>
        <w:left w:val="none" w:sz="0" w:space="0" w:color="auto"/>
        <w:bottom w:val="none" w:sz="0" w:space="0" w:color="auto"/>
        <w:right w:val="none" w:sz="0" w:space="0" w:color="auto"/>
      </w:divBdr>
    </w:div>
    <w:div w:id="1624462327">
      <w:bodyDiv w:val="1"/>
      <w:marLeft w:val="0"/>
      <w:marRight w:val="0"/>
      <w:marTop w:val="0"/>
      <w:marBottom w:val="0"/>
      <w:divBdr>
        <w:top w:val="none" w:sz="0" w:space="0" w:color="auto"/>
        <w:left w:val="none" w:sz="0" w:space="0" w:color="auto"/>
        <w:bottom w:val="none" w:sz="0" w:space="0" w:color="auto"/>
        <w:right w:val="none" w:sz="0" w:space="0" w:color="auto"/>
      </w:divBdr>
    </w:div>
    <w:div w:id="1629235185">
      <w:bodyDiv w:val="1"/>
      <w:marLeft w:val="0"/>
      <w:marRight w:val="0"/>
      <w:marTop w:val="0"/>
      <w:marBottom w:val="0"/>
      <w:divBdr>
        <w:top w:val="none" w:sz="0" w:space="0" w:color="auto"/>
        <w:left w:val="none" w:sz="0" w:space="0" w:color="auto"/>
        <w:bottom w:val="none" w:sz="0" w:space="0" w:color="auto"/>
        <w:right w:val="none" w:sz="0" w:space="0" w:color="auto"/>
      </w:divBdr>
    </w:div>
    <w:div w:id="1632789212">
      <w:bodyDiv w:val="1"/>
      <w:marLeft w:val="0"/>
      <w:marRight w:val="0"/>
      <w:marTop w:val="0"/>
      <w:marBottom w:val="0"/>
      <w:divBdr>
        <w:top w:val="none" w:sz="0" w:space="0" w:color="auto"/>
        <w:left w:val="none" w:sz="0" w:space="0" w:color="auto"/>
        <w:bottom w:val="none" w:sz="0" w:space="0" w:color="auto"/>
        <w:right w:val="none" w:sz="0" w:space="0" w:color="auto"/>
      </w:divBdr>
    </w:div>
    <w:div w:id="1640501287">
      <w:bodyDiv w:val="1"/>
      <w:marLeft w:val="0"/>
      <w:marRight w:val="0"/>
      <w:marTop w:val="0"/>
      <w:marBottom w:val="0"/>
      <w:divBdr>
        <w:top w:val="none" w:sz="0" w:space="0" w:color="auto"/>
        <w:left w:val="none" w:sz="0" w:space="0" w:color="auto"/>
        <w:bottom w:val="none" w:sz="0" w:space="0" w:color="auto"/>
        <w:right w:val="none" w:sz="0" w:space="0" w:color="auto"/>
      </w:divBdr>
    </w:div>
    <w:div w:id="1642618633">
      <w:bodyDiv w:val="1"/>
      <w:marLeft w:val="0"/>
      <w:marRight w:val="0"/>
      <w:marTop w:val="0"/>
      <w:marBottom w:val="0"/>
      <w:divBdr>
        <w:top w:val="none" w:sz="0" w:space="0" w:color="auto"/>
        <w:left w:val="none" w:sz="0" w:space="0" w:color="auto"/>
        <w:bottom w:val="none" w:sz="0" w:space="0" w:color="auto"/>
        <w:right w:val="none" w:sz="0" w:space="0" w:color="auto"/>
      </w:divBdr>
    </w:div>
    <w:div w:id="1647974941">
      <w:bodyDiv w:val="1"/>
      <w:marLeft w:val="0"/>
      <w:marRight w:val="0"/>
      <w:marTop w:val="0"/>
      <w:marBottom w:val="0"/>
      <w:divBdr>
        <w:top w:val="none" w:sz="0" w:space="0" w:color="auto"/>
        <w:left w:val="none" w:sz="0" w:space="0" w:color="auto"/>
        <w:bottom w:val="none" w:sz="0" w:space="0" w:color="auto"/>
        <w:right w:val="none" w:sz="0" w:space="0" w:color="auto"/>
      </w:divBdr>
    </w:div>
    <w:div w:id="1649942074">
      <w:bodyDiv w:val="1"/>
      <w:marLeft w:val="0"/>
      <w:marRight w:val="0"/>
      <w:marTop w:val="0"/>
      <w:marBottom w:val="0"/>
      <w:divBdr>
        <w:top w:val="none" w:sz="0" w:space="0" w:color="auto"/>
        <w:left w:val="none" w:sz="0" w:space="0" w:color="auto"/>
        <w:bottom w:val="none" w:sz="0" w:space="0" w:color="auto"/>
        <w:right w:val="none" w:sz="0" w:space="0" w:color="auto"/>
      </w:divBdr>
    </w:div>
    <w:div w:id="1653413141">
      <w:bodyDiv w:val="1"/>
      <w:marLeft w:val="0"/>
      <w:marRight w:val="0"/>
      <w:marTop w:val="0"/>
      <w:marBottom w:val="0"/>
      <w:divBdr>
        <w:top w:val="none" w:sz="0" w:space="0" w:color="auto"/>
        <w:left w:val="none" w:sz="0" w:space="0" w:color="auto"/>
        <w:bottom w:val="none" w:sz="0" w:space="0" w:color="auto"/>
        <w:right w:val="none" w:sz="0" w:space="0" w:color="auto"/>
      </w:divBdr>
    </w:div>
    <w:div w:id="1653606151">
      <w:bodyDiv w:val="1"/>
      <w:marLeft w:val="0"/>
      <w:marRight w:val="0"/>
      <w:marTop w:val="0"/>
      <w:marBottom w:val="0"/>
      <w:divBdr>
        <w:top w:val="none" w:sz="0" w:space="0" w:color="auto"/>
        <w:left w:val="none" w:sz="0" w:space="0" w:color="auto"/>
        <w:bottom w:val="none" w:sz="0" w:space="0" w:color="auto"/>
        <w:right w:val="none" w:sz="0" w:space="0" w:color="auto"/>
      </w:divBdr>
    </w:div>
    <w:div w:id="1654288536">
      <w:bodyDiv w:val="1"/>
      <w:marLeft w:val="0"/>
      <w:marRight w:val="0"/>
      <w:marTop w:val="0"/>
      <w:marBottom w:val="0"/>
      <w:divBdr>
        <w:top w:val="none" w:sz="0" w:space="0" w:color="auto"/>
        <w:left w:val="none" w:sz="0" w:space="0" w:color="auto"/>
        <w:bottom w:val="none" w:sz="0" w:space="0" w:color="auto"/>
        <w:right w:val="none" w:sz="0" w:space="0" w:color="auto"/>
      </w:divBdr>
    </w:div>
    <w:div w:id="1658538234">
      <w:bodyDiv w:val="1"/>
      <w:marLeft w:val="0"/>
      <w:marRight w:val="0"/>
      <w:marTop w:val="0"/>
      <w:marBottom w:val="0"/>
      <w:divBdr>
        <w:top w:val="none" w:sz="0" w:space="0" w:color="auto"/>
        <w:left w:val="none" w:sz="0" w:space="0" w:color="auto"/>
        <w:bottom w:val="none" w:sz="0" w:space="0" w:color="auto"/>
        <w:right w:val="none" w:sz="0" w:space="0" w:color="auto"/>
      </w:divBdr>
    </w:div>
    <w:div w:id="1670209319">
      <w:bodyDiv w:val="1"/>
      <w:marLeft w:val="0"/>
      <w:marRight w:val="0"/>
      <w:marTop w:val="0"/>
      <w:marBottom w:val="0"/>
      <w:divBdr>
        <w:top w:val="none" w:sz="0" w:space="0" w:color="auto"/>
        <w:left w:val="none" w:sz="0" w:space="0" w:color="auto"/>
        <w:bottom w:val="none" w:sz="0" w:space="0" w:color="auto"/>
        <w:right w:val="none" w:sz="0" w:space="0" w:color="auto"/>
      </w:divBdr>
    </w:div>
    <w:div w:id="1671104214">
      <w:bodyDiv w:val="1"/>
      <w:marLeft w:val="0"/>
      <w:marRight w:val="0"/>
      <w:marTop w:val="0"/>
      <w:marBottom w:val="0"/>
      <w:divBdr>
        <w:top w:val="none" w:sz="0" w:space="0" w:color="auto"/>
        <w:left w:val="none" w:sz="0" w:space="0" w:color="auto"/>
        <w:bottom w:val="none" w:sz="0" w:space="0" w:color="auto"/>
        <w:right w:val="none" w:sz="0" w:space="0" w:color="auto"/>
      </w:divBdr>
    </w:div>
    <w:div w:id="1671830131">
      <w:bodyDiv w:val="1"/>
      <w:marLeft w:val="0"/>
      <w:marRight w:val="0"/>
      <w:marTop w:val="0"/>
      <w:marBottom w:val="0"/>
      <w:divBdr>
        <w:top w:val="none" w:sz="0" w:space="0" w:color="auto"/>
        <w:left w:val="none" w:sz="0" w:space="0" w:color="auto"/>
        <w:bottom w:val="none" w:sz="0" w:space="0" w:color="auto"/>
        <w:right w:val="none" w:sz="0" w:space="0" w:color="auto"/>
      </w:divBdr>
    </w:div>
    <w:div w:id="1677151445">
      <w:bodyDiv w:val="1"/>
      <w:marLeft w:val="0"/>
      <w:marRight w:val="0"/>
      <w:marTop w:val="0"/>
      <w:marBottom w:val="0"/>
      <w:divBdr>
        <w:top w:val="none" w:sz="0" w:space="0" w:color="auto"/>
        <w:left w:val="none" w:sz="0" w:space="0" w:color="auto"/>
        <w:bottom w:val="none" w:sz="0" w:space="0" w:color="auto"/>
        <w:right w:val="none" w:sz="0" w:space="0" w:color="auto"/>
      </w:divBdr>
      <w:divsChild>
        <w:div w:id="41294187">
          <w:marLeft w:val="0"/>
          <w:marRight w:val="0"/>
          <w:marTop w:val="0"/>
          <w:marBottom w:val="0"/>
          <w:divBdr>
            <w:top w:val="none" w:sz="0" w:space="0" w:color="auto"/>
            <w:left w:val="none" w:sz="0" w:space="0" w:color="auto"/>
            <w:bottom w:val="none" w:sz="0" w:space="0" w:color="auto"/>
            <w:right w:val="none" w:sz="0" w:space="0" w:color="auto"/>
          </w:divBdr>
        </w:div>
        <w:div w:id="324477254">
          <w:marLeft w:val="0"/>
          <w:marRight w:val="0"/>
          <w:marTop w:val="0"/>
          <w:marBottom w:val="0"/>
          <w:divBdr>
            <w:top w:val="none" w:sz="0" w:space="0" w:color="auto"/>
            <w:left w:val="none" w:sz="0" w:space="0" w:color="auto"/>
            <w:bottom w:val="none" w:sz="0" w:space="0" w:color="auto"/>
            <w:right w:val="none" w:sz="0" w:space="0" w:color="auto"/>
          </w:divBdr>
        </w:div>
        <w:div w:id="341011151">
          <w:marLeft w:val="0"/>
          <w:marRight w:val="0"/>
          <w:marTop w:val="0"/>
          <w:marBottom w:val="0"/>
          <w:divBdr>
            <w:top w:val="none" w:sz="0" w:space="0" w:color="auto"/>
            <w:left w:val="none" w:sz="0" w:space="0" w:color="auto"/>
            <w:bottom w:val="none" w:sz="0" w:space="0" w:color="auto"/>
            <w:right w:val="none" w:sz="0" w:space="0" w:color="auto"/>
          </w:divBdr>
        </w:div>
        <w:div w:id="435715984">
          <w:marLeft w:val="0"/>
          <w:marRight w:val="0"/>
          <w:marTop w:val="0"/>
          <w:marBottom w:val="0"/>
          <w:divBdr>
            <w:top w:val="none" w:sz="0" w:space="0" w:color="auto"/>
            <w:left w:val="none" w:sz="0" w:space="0" w:color="auto"/>
            <w:bottom w:val="none" w:sz="0" w:space="0" w:color="auto"/>
            <w:right w:val="none" w:sz="0" w:space="0" w:color="auto"/>
          </w:divBdr>
        </w:div>
        <w:div w:id="456294299">
          <w:marLeft w:val="0"/>
          <w:marRight w:val="0"/>
          <w:marTop w:val="0"/>
          <w:marBottom w:val="0"/>
          <w:divBdr>
            <w:top w:val="none" w:sz="0" w:space="0" w:color="auto"/>
            <w:left w:val="none" w:sz="0" w:space="0" w:color="auto"/>
            <w:bottom w:val="none" w:sz="0" w:space="0" w:color="auto"/>
            <w:right w:val="none" w:sz="0" w:space="0" w:color="auto"/>
          </w:divBdr>
        </w:div>
        <w:div w:id="836461143">
          <w:marLeft w:val="0"/>
          <w:marRight w:val="0"/>
          <w:marTop w:val="0"/>
          <w:marBottom w:val="0"/>
          <w:divBdr>
            <w:top w:val="none" w:sz="0" w:space="0" w:color="auto"/>
            <w:left w:val="none" w:sz="0" w:space="0" w:color="auto"/>
            <w:bottom w:val="none" w:sz="0" w:space="0" w:color="auto"/>
            <w:right w:val="none" w:sz="0" w:space="0" w:color="auto"/>
          </w:divBdr>
        </w:div>
        <w:div w:id="885331145">
          <w:marLeft w:val="0"/>
          <w:marRight w:val="0"/>
          <w:marTop w:val="0"/>
          <w:marBottom w:val="0"/>
          <w:divBdr>
            <w:top w:val="none" w:sz="0" w:space="0" w:color="auto"/>
            <w:left w:val="none" w:sz="0" w:space="0" w:color="auto"/>
            <w:bottom w:val="none" w:sz="0" w:space="0" w:color="auto"/>
            <w:right w:val="none" w:sz="0" w:space="0" w:color="auto"/>
          </w:divBdr>
        </w:div>
        <w:div w:id="971398742">
          <w:marLeft w:val="0"/>
          <w:marRight w:val="0"/>
          <w:marTop w:val="0"/>
          <w:marBottom w:val="0"/>
          <w:divBdr>
            <w:top w:val="none" w:sz="0" w:space="0" w:color="auto"/>
            <w:left w:val="none" w:sz="0" w:space="0" w:color="auto"/>
            <w:bottom w:val="none" w:sz="0" w:space="0" w:color="auto"/>
            <w:right w:val="none" w:sz="0" w:space="0" w:color="auto"/>
          </w:divBdr>
        </w:div>
        <w:div w:id="972367668">
          <w:marLeft w:val="0"/>
          <w:marRight w:val="0"/>
          <w:marTop w:val="0"/>
          <w:marBottom w:val="0"/>
          <w:divBdr>
            <w:top w:val="none" w:sz="0" w:space="0" w:color="auto"/>
            <w:left w:val="none" w:sz="0" w:space="0" w:color="auto"/>
            <w:bottom w:val="none" w:sz="0" w:space="0" w:color="auto"/>
            <w:right w:val="none" w:sz="0" w:space="0" w:color="auto"/>
          </w:divBdr>
        </w:div>
        <w:div w:id="1038357923">
          <w:marLeft w:val="0"/>
          <w:marRight w:val="0"/>
          <w:marTop w:val="0"/>
          <w:marBottom w:val="0"/>
          <w:divBdr>
            <w:top w:val="none" w:sz="0" w:space="0" w:color="auto"/>
            <w:left w:val="none" w:sz="0" w:space="0" w:color="auto"/>
            <w:bottom w:val="none" w:sz="0" w:space="0" w:color="auto"/>
            <w:right w:val="none" w:sz="0" w:space="0" w:color="auto"/>
          </w:divBdr>
        </w:div>
        <w:div w:id="1040475344">
          <w:marLeft w:val="0"/>
          <w:marRight w:val="0"/>
          <w:marTop w:val="0"/>
          <w:marBottom w:val="0"/>
          <w:divBdr>
            <w:top w:val="none" w:sz="0" w:space="0" w:color="auto"/>
            <w:left w:val="none" w:sz="0" w:space="0" w:color="auto"/>
            <w:bottom w:val="none" w:sz="0" w:space="0" w:color="auto"/>
            <w:right w:val="none" w:sz="0" w:space="0" w:color="auto"/>
          </w:divBdr>
        </w:div>
        <w:div w:id="1046490877">
          <w:marLeft w:val="0"/>
          <w:marRight w:val="0"/>
          <w:marTop w:val="0"/>
          <w:marBottom w:val="0"/>
          <w:divBdr>
            <w:top w:val="none" w:sz="0" w:space="0" w:color="auto"/>
            <w:left w:val="none" w:sz="0" w:space="0" w:color="auto"/>
            <w:bottom w:val="none" w:sz="0" w:space="0" w:color="auto"/>
            <w:right w:val="none" w:sz="0" w:space="0" w:color="auto"/>
          </w:divBdr>
        </w:div>
        <w:div w:id="1362127961">
          <w:marLeft w:val="0"/>
          <w:marRight w:val="0"/>
          <w:marTop w:val="0"/>
          <w:marBottom w:val="0"/>
          <w:divBdr>
            <w:top w:val="none" w:sz="0" w:space="0" w:color="auto"/>
            <w:left w:val="none" w:sz="0" w:space="0" w:color="auto"/>
            <w:bottom w:val="none" w:sz="0" w:space="0" w:color="auto"/>
            <w:right w:val="none" w:sz="0" w:space="0" w:color="auto"/>
          </w:divBdr>
        </w:div>
        <w:div w:id="1737046031">
          <w:marLeft w:val="0"/>
          <w:marRight w:val="0"/>
          <w:marTop w:val="0"/>
          <w:marBottom w:val="0"/>
          <w:divBdr>
            <w:top w:val="none" w:sz="0" w:space="0" w:color="auto"/>
            <w:left w:val="none" w:sz="0" w:space="0" w:color="auto"/>
            <w:bottom w:val="none" w:sz="0" w:space="0" w:color="auto"/>
            <w:right w:val="none" w:sz="0" w:space="0" w:color="auto"/>
          </w:divBdr>
        </w:div>
        <w:div w:id="2007786672">
          <w:marLeft w:val="0"/>
          <w:marRight w:val="0"/>
          <w:marTop w:val="0"/>
          <w:marBottom w:val="0"/>
          <w:divBdr>
            <w:top w:val="none" w:sz="0" w:space="0" w:color="auto"/>
            <w:left w:val="none" w:sz="0" w:space="0" w:color="auto"/>
            <w:bottom w:val="none" w:sz="0" w:space="0" w:color="auto"/>
            <w:right w:val="none" w:sz="0" w:space="0" w:color="auto"/>
          </w:divBdr>
        </w:div>
      </w:divsChild>
    </w:div>
    <w:div w:id="1682926303">
      <w:bodyDiv w:val="1"/>
      <w:marLeft w:val="0"/>
      <w:marRight w:val="0"/>
      <w:marTop w:val="0"/>
      <w:marBottom w:val="0"/>
      <w:divBdr>
        <w:top w:val="none" w:sz="0" w:space="0" w:color="auto"/>
        <w:left w:val="none" w:sz="0" w:space="0" w:color="auto"/>
        <w:bottom w:val="none" w:sz="0" w:space="0" w:color="auto"/>
        <w:right w:val="none" w:sz="0" w:space="0" w:color="auto"/>
      </w:divBdr>
    </w:div>
    <w:div w:id="1684817823">
      <w:bodyDiv w:val="1"/>
      <w:marLeft w:val="0"/>
      <w:marRight w:val="0"/>
      <w:marTop w:val="0"/>
      <w:marBottom w:val="0"/>
      <w:divBdr>
        <w:top w:val="none" w:sz="0" w:space="0" w:color="auto"/>
        <w:left w:val="none" w:sz="0" w:space="0" w:color="auto"/>
        <w:bottom w:val="none" w:sz="0" w:space="0" w:color="auto"/>
        <w:right w:val="none" w:sz="0" w:space="0" w:color="auto"/>
      </w:divBdr>
    </w:div>
    <w:div w:id="1685550951">
      <w:bodyDiv w:val="1"/>
      <w:marLeft w:val="0"/>
      <w:marRight w:val="0"/>
      <w:marTop w:val="0"/>
      <w:marBottom w:val="0"/>
      <w:divBdr>
        <w:top w:val="none" w:sz="0" w:space="0" w:color="auto"/>
        <w:left w:val="none" w:sz="0" w:space="0" w:color="auto"/>
        <w:bottom w:val="none" w:sz="0" w:space="0" w:color="auto"/>
        <w:right w:val="none" w:sz="0" w:space="0" w:color="auto"/>
      </w:divBdr>
    </w:div>
    <w:div w:id="1709523274">
      <w:bodyDiv w:val="1"/>
      <w:marLeft w:val="0"/>
      <w:marRight w:val="0"/>
      <w:marTop w:val="0"/>
      <w:marBottom w:val="0"/>
      <w:divBdr>
        <w:top w:val="none" w:sz="0" w:space="0" w:color="auto"/>
        <w:left w:val="none" w:sz="0" w:space="0" w:color="auto"/>
        <w:bottom w:val="none" w:sz="0" w:space="0" w:color="auto"/>
        <w:right w:val="none" w:sz="0" w:space="0" w:color="auto"/>
      </w:divBdr>
    </w:div>
    <w:div w:id="1723213098">
      <w:bodyDiv w:val="1"/>
      <w:marLeft w:val="0"/>
      <w:marRight w:val="0"/>
      <w:marTop w:val="0"/>
      <w:marBottom w:val="0"/>
      <w:divBdr>
        <w:top w:val="none" w:sz="0" w:space="0" w:color="auto"/>
        <w:left w:val="none" w:sz="0" w:space="0" w:color="auto"/>
        <w:bottom w:val="none" w:sz="0" w:space="0" w:color="auto"/>
        <w:right w:val="none" w:sz="0" w:space="0" w:color="auto"/>
      </w:divBdr>
    </w:div>
    <w:div w:id="1723481765">
      <w:bodyDiv w:val="1"/>
      <w:marLeft w:val="0"/>
      <w:marRight w:val="0"/>
      <w:marTop w:val="0"/>
      <w:marBottom w:val="0"/>
      <w:divBdr>
        <w:top w:val="none" w:sz="0" w:space="0" w:color="auto"/>
        <w:left w:val="none" w:sz="0" w:space="0" w:color="auto"/>
        <w:bottom w:val="none" w:sz="0" w:space="0" w:color="auto"/>
        <w:right w:val="none" w:sz="0" w:space="0" w:color="auto"/>
      </w:divBdr>
    </w:div>
    <w:div w:id="1739016955">
      <w:bodyDiv w:val="1"/>
      <w:marLeft w:val="0"/>
      <w:marRight w:val="0"/>
      <w:marTop w:val="0"/>
      <w:marBottom w:val="0"/>
      <w:divBdr>
        <w:top w:val="none" w:sz="0" w:space="0" w:color="auto"/>
        <w:left w:val="none" w:sz="0" w:space="0" w:color="auto"/>
        <w:bottom w:val="none" w:sz="0" w:space="0" w:color="auto"/>
        <w:right w:val="none" w:sz="0" w:space="0" w:color="auto"/>
      </w:divBdr>
    </w:div>
    <w:div w:id="1741361706">
      <w:bodyDiv w:val="1"/>
      <w:marLeft w:val="0"/>
      <w:marRight w:val="0"/>
      <w:marTop w:val="0"/>
      <w:marBottom w:val="0"/>
      <w:divBdr>
        <w:top w:val="none" w:sz="0" w:space="0" w:color="auto"/>
        <w:left w:val="none" w:sz="0" w:space="0" w:color="auto"/>
        <w:bottom w:val="none" w:sz="0" w:space="0" w:color="auto"/>
        <w:right w:val="none" w:sz="0" w:space="0" w:color="auto"/>
      </w:divBdr>
    </w:div>
    <w:div w:id="1747415704">
      <w:bodyDiv w:val="1"/>
      <w:marLeft w:val="0"/>
      <w:marRight w:val="0"/>
      <w:marTop w:val="0"/>
      <w:marBottom w:val="0"/>
      <w:divBdr>
        <w:top w:val="none" w:sz="0" w:space="0" w:color="auto"/>
        <w:left w:val="none" w:sz="0" w:space="0" w:color="auto"/>
        <w:bottom w:val="none" w:sz="0" w:space="0" w:color="auto"/>
        <w:right w:val="none" w:sz="0" w:space="0" w:color="auto"/>
      </w:divBdr>
    </w:div>
    <w:div w:id="1748527942">
      <w:bodyDiv w:val="1"/>
      <w:marLeft w:val="0"/>
      <w:marRight w:val="0"/>
      <w:marTop w:val="0"/>
      <w:marBottom w:val="0"/>
      <w:divBdr>
        <w:top w:val="none" w:sz="0" w:space="0" w:color="auto"/>
        <w:left w:val="none" w:sz="0" w:space="0" w:color="auto"/>
        <w:bottom w:val="none" w:sz="0" w:space="0" w:color="auto"/>
        <w:right w:val="none" w:sz="0" w:space="0" w:color="auto"/>
      </w:divBdr>
    </w:div>
    <w:div w:id="1751538662">
      <w:bodyDiv w:val="1"/>
      <w:marLeft w:val="0"/>
      <w:marRight w:val="0"/>
      <w:marTop w:val="0"/>
      <w:marBottom w:val="0"/>
      <w:divBdr>
        <w:top w:val="none" w:sz="0" w:space="0" w:color="auto"/>
        <w:left w:val="none" w:sz="0" w:space="0" w:color="auto"/>
        <w:bottom w:val="none" w:sz="0" w:space="0" w:color="auto"/>
        <w:right w:val="none" w:sz="0" w:space="0" w:color="auto"/>
      </w:divBdr>
    </w:div>
    <w:div w:id="1754549888">
      <w:bodyDiv w:val="1"/>
      <w:marLeft w:val="0"/>
      <w:marRight w:val="0"/>
      <w:marTop w:val="0"/>
      <w:marBottom w:val="0"/>
      <w:divBdr>
        <w:top w:val="none" w:sz="0" w:space="0" w:color="auto"/>
        <w:left w:val="none" w:sz="0" w:space="0" w:color="auto"/>
        <w:bottom w:val="none" w:sz="0" w:space="0" w:color="auto"/>
        <w:right w:val="none" w:sz="0" w:space="0" w:color="auto"/>
      </w:divBdr>
    </w:div>
    <w:div w:id="1756707185">
      <w:bodyDiv w:val="1"/>
      <w:marLeft w:val="0"/>
      <w:marRight w:val="0"/>
      <w:marTop w:val="0"/>
      <w:marBottom w:val="0"/>
      <w:divBdr>
        <w:top w:val="none" w:sz="0" w:space="0" w:color="auto"/>
        <w:left w:val="none" w:sz="0" w:space="0" w:color="auto"/>
        <w:bottom w:val="none" w:sz="0" w:space="0" w:color="auto"/>
        <w:right w:val="none" w:sz="0" w:space="0" w:color="auto"/>
      </w:divBdr>
    </w:div>
    <w:div w:id="1762484027">
      <w:bodyDiv w:val="1"/>
      <w:marLeft w:val="0"/>
      <w:marRight w:val="0"/>
      <w:marTop w:val="0"/>
      <w:marBottom w:val="0"/>
      <w:divBdr>
        <w:top w:val="none" w:sz="0" w:space="0" w:color="auto"/>
        <w:left w:val="none" w:sz="0" w:space="0" w:color="auto"/>
        <w:bottom w:val="none" w:sz="0" w:space="0" w:color="auto"/>
        <w:right w:val="none" w:sz="0" w:space="0" w:color="auto"/>
      </w:divBdr>
    </w:div>
    <w:div w:id="1766489779">
      <w:bodyDiv w:val="1"/>
      <w:marLeft w:val="0"/>
      <w:marRight w:val="0"/>
      <w:marTop w:val="0"/>
      <w:marBottom w:val="0"/>
      <w:divBdr>
        <w:top w:val="none" w:sz="0" w:space="0" w:color="auto"/>
        <w:left w:val="none" w:sz="0" w:space="0" w:color="auto"/>
        <w:bottom w:val="none" w:sz="0" w:space="0" w:color="auto"/>
        <w:right w:val="none" w:sz="0" w:space="0" w:color="auto"/>
      </w:divBdr>
    </w:div>
    <w:div w:id="1769499016">
      <w:bodyDiv w:val="1"/>
      <w:marLeft w:val="0"/>
      <w:marRight w:val="0"/>
      <w:marTop w:val="0"/>
      <w:marBottom w:val="0"/>
      <w:divBdr>
        <w:top w:val="none" w:sz="0" w:space="0" w:color="auto"/>
        <w:left w:val="none" w:sz="0" w:space="0" w:color="auto"/>
        <w:bottom w:val="none" w:sz="0" w:space="0" w:color="auto"/>
        <w:right w:val="none" w:sz="0" w:space="0" w:color="auto"/>
      </w:divBdr>
    </w:div>
    <w:div w:id="1770810027">
      <w:bodyDiv w:val="1"/>
      <w:marLeft w:val="0"/>
      <w:marRight w:val="0"/>
      <w:marTop w:val="0"/>
      <w:marBottom w:val="0"/>
      <w:divBdr>
        <w:top w:val="none" w:sz="0" w:space="0" w:color="auto"/>
        <w:left w:val="none" w:sz="0" w:space="0" w:color="auto"/>
        <w:bottom w:val="none" w:sz="0" w:space="0" w:color="auto"/>
        <w:right w:val="none" w:sz="0" w:space="0" w:color="auto"/>
      </w:divBdr>
    </w:div>
    <w:div w:id="1778519140">
      <w:bodyDiv w:val="1"/>
      <w:marLeft w:val="0"/>
      <w:marRight w:val="0"/>
      <w:marTop w:val="0"/>
      <w:marBottom w:val="0"/>
      <w:divBdr>
        <w:top w:val="none" w:sz="0" w:space="0" w:color="auto"/>
        <w:left w:val="none" w:sz="0" w:space="0" w:color="auto"/>
        <w:bottom w:val="none" w:sz="0" w:space="0" w:color="auto"/>
        <w:right w:val="none" w:sz="0" w:space="0" w:color="auto"/>
      </w:divBdr>
    </w:div>
    <w:div w:id="1778527283">
      <w:bodyDiv w:val="1"/>
      <w:marLeft w:val="0"/>
      <w:marRight w:val="0"/>
      <w:marTop w:val="0"/>
      <w:marBottom w:val="0"/>
      <w:divBdr>
        <w:top w:val="none" w:sz="0" w:space="0" w:color="auto"/>
        <w:left w:val="none" w:sz="0" w:space="0" w:color="auto"/>
        <w:bottom w:val="none" w:sz="0" w:space="0" w:color="auto"/>
        <w:right w:val="none" w:sz="0" w:space="0" w:color="auto"/>
      </w:divBdr>
    </w:div>
    <w:div w:id="1779373777">
      <w:bodyDiv w:val="1"/>
      <w:marLeft w:val="0"/>
      <w:marRight w:val="0"/>
      <w:marTop w:val="0"/>
      <w:marBottom w:val="0"/>
      <w:divBdr>
        <w:top w:val="none" w:sz="0" w:space="0" w:color="auto"/>
        <w:left w:val="none" w:sz="0" w:space="0" w:color="auto"/>
        <w:bottom w:val="none" w:sz="0" w:space="0" w:color="auto"/>
        <w:right w:val="none" w:sz="0" w:space="0" w:color="auto"/>
      </w:divBdr>
    </w:div>
    <w:div w:id="1804083663">
      <w:bodyDiv w:val="1"/>
      <w:marLeft w:val="0"/>
      <w:marRight w:val="0"/>
      <w:marTop w:val="0"/>
      <w:marBottom w:val="0"/>
      <w:divBdr>
        <w:top w:val="none" w:sz="0" w:space="0" w:color="auto"/>
        <w:left w:val="none" w:sz="0" w:space="0" w:color="auto"/>
        <w:bottom w:val="none" w:sz="0" w:space="0" w:color="auto"/>
        <w:right w:val="none" w:sz="0" w:space="0" w:color="auto"/>
      </w:divBdr>
    </w:div>
    <w:div w:id="1809781846">
      <w:bodyDiv w:val="1"/>
      <w:marLeft w:val="0"/>
      <w:marRight w:val="0"/>
      <w:marTop w:val="0"/>
      <w:marBottom w:val="0"/>
      <w:divBdr>
        <w:top w:val="none" w:sz="0" w:space="0" w:color="auto"/>
        <w:left w:val="none" w:sz="0" w:space="0" w:color="auto"/>
        <w:bottom w:val="none" w:sz="0" w:space="0" w:color="auto"/>
        <w:right w:val="none" w:sz="0" w:space="0" w:color="auto"/>
      </w:divBdr>
    </w:div>
    <w:div w:id="1816408703">
      <w:bodyDiv w:val="1"/>
      <w:marLeft w:val="0"/>
      <w:marRight w:val="0"/>
      <w:marTop w:val="0"/>
      <w:marBottom w:val="0"/>
      <w:divBdr>
        <w:top w:val="none" w:sz="0" w:space="0" w:color="auto"/>
        <w:left w:val="none" w:sz="0" w:space="0" w:color="auto"/>
        <w:bottom w:val="none" w:sz="0" w:space="0" w:color="auto"/>
        <w:right w:val="none" w:sz="0" w:space="0" w:color="auto"/>
      </w:divBdr>
    </w:div>
    <w:div w:id="1833566224">
      <w:bodyDiv w:val="1"/>
      <w:marLeft w:val="0"/>
      <w:marRight w:val="0"/>
      <w:marTop w:val="0"/>
      <w:marBottom w:val="0"/>
      <w:divBdr>
        <w:top w:val="none" w:sz="0" w:space="0" w:color="auto"/>
        <w:left w:val="none" w:sz="0" w:space="0" w:color="auto"/>
        <w:bottom w:val="none" w:sz="0" w:space="0" w:color="auto"/>
        <w:right w:val="none" w:sz="0" w:space="0" w:color="auto"/>
      </w:divBdr>
    </w:div>
    <w:div w:id="1834373048">
      <w:bodyDiv w:val="1"/>
      <w:marLeft w:val="0"/>
      <w:marRight w:val="0"/>
      <w:marTop w:val="0"/>
      <w:marBottom w:val="0"/>
      <w:divBdr>
        <w:top w:val="none" w:sz="0" w:space="0" w:color="auto"/>
        <w:left w:val="none" w:sz="0" w:space="0" w:color="auto"/>
        <w:bottom w:val="none" w:sz="0" w:space="0" w:color="auto"/>
        <w:right w:val="none" w:sz="0" w:space="0" w:color="auto"/>
      </w:divBdr>
    </w:div>
    <w:div w:id="1845583508">
      <w:bodyDiv w:val="1"/>
      <w:marLeft w:val="0"/>
      <w:marRight w:val="0"/>
      <w:marTop w:val="0"/>
      <w:marBottom w:val="0"/>
      <w:divBdr>
        <w:top w:val="none" w:sz="0" w:space="0" w:color="auto"/>
        <w:left w:val="none" w:sz="0" w:space="0" w:color="auto"/>
        <w:bottom w:val="none" w:sz="0" w:space="0" w:color="auto"/>
        <w:right w:val="none" w:sz="0" w:space="0" w:color="auto"/>
      </w:divBdr>
    </w:div>
    <w:div w:id="1852256756">
      <w:bodyDiv w:val="1"/>
      <w:marLeft w:val="0"/>
      <w:marRight w:val="0"/>
      <w:marTop w:val="0"/>
      <w:marBottom w:val="0"/>
      <w:divBdr>
        <w:top w:val="none" w:sz="0" w:space="0" w:color="auto"/>
        <w:left w:val="none" w:sz="0" w:space="0" w:color="auto"/>
        <w:bottom w:val="none" w:sz="0" w:space="0" w:color="auto"/>
        <w:right w:val="none" w:sz="0" w:space="0" w:color="auto"/>
      </w:divBdr>
    </w:div>
    <w:div w:id="1867254530">
      <w:bodyDiv w:val="1"/>
      <w:marLeft w:val="0"/>
      <w:marRight w:val="0"/>
      <w:marTop w:val="0"/>
      <w:marBottom w:val="0"/>
      <w:divBdr>
        <w:top w:val="none" w:sz="0" w:space="0" w:color="auto"/>
        <w:left w:val="none" w:sz="0" w:space="0" w:color="auto"/>
        <w:bottom w:val="none" w:sz="0" w:space="0" w:color="auto"/>
        <w:right w:val="none" w:sz="0" w:space="0" w:color="auto"/>
      </w:divBdr>
    </w:div>
    <w:div w:id="1871603078">
      <w:bodyDiv w:val="1"/>
      <w:marLeft w:val="0"/>
      <w:marRight w:val="0"/>
      <w:marTop w:val="0"/>
      <w:marBottom w:val="0"/>
      <w:divBdr>
        <w:top w:val="none" w:sz="0" w:space="0" w:color="auto"/>
        <w:left w:val="none" w:sz="0" w:space="0" w:color="auto"/>
        <w:bottom w:val="none" w:sz="0" w:space="0" w:color="auto"/>
        <w:right w:val="none" w:sz="0" w:space="0" w:color="auto"/>
      </w:divBdr>
    </w:div>
    <w:div w:id="1873377147">
      <w:bodyDiv w:val="1"/>
      <w:marLeft w:val="0"/>
      <w:marRight w:val="0"/>
      <w:marTop w:val="0"/>
      <w:marBottom w:val="0"/>
      <w:divBdr>
        <w:top w:val="none" w:sz="0" w:space="0" w:color="auto"/>
        <w:left w:val="none" w:sz="0" w:space="0" w:color="auto"/>
        <w:bottom w:val="none" w:sz="0" w:space="0" w:color="auto"/>
        <w:right w:val="none" w:sz="0" w:space="0" w:color="auto"/>
      </w:divBdr>
    </w:div>
    <w:div w:id="1890989109">
      <w:bodyDiv w:val="1"/>
      <w:marLeft w:val="0"/>
      <w:marRight w:val="0"/>
      <w:marTop w:val="0"/>
      <w:marBottom w:val="0"/>
      <w:divBdr>
        <w:top w:val="none" w:sz="0" w:space="0" w:color="auto"/>
        <w:left w:val="none" w:sz="0" w:space="0" w:color="auto"/>
        <w:bottom w:val="none" w:sz="0" w:space="0" w:color="auto"/>
        <w:right w:val="none" w:sz="0" w:space="0" w:color="auto"/>
      </w:divBdr>
    </w:div>
    <w:div w:id="1891112736">
      <w:bodyDiv w:val="1"/>
      <w:marLeft w:val="0"/>
      <w:marRight w:val="0"/>
      <w:marTop w:val="0"/>
      <w:marBottom w:val="0"/>
      <w:divBdr>
        <w:top w:val="none" w:sz="0" w:space="0" w:color="auto"/>
        <w:left w:val="none" w:sz="0" w:space="0" w:color="auto"/>
        <w:bottom w:val="none" w:sz="0" w:space="0" w:color="auto"/>
        <w:right w:val="none" w:sz="0" w:space="0" w:color="auto"/>
      </w:divBdr>
    </w:div>
    <w:div w:id="1892837321">
      <w:bodyDiv w:val="1"/>
      <w:marLeft w:val="0"/>
      <w:marRight w:val="0"/>
      <w:marTop w:val="0"/>
      <w:marBottom w:val="0"/>
      <w:divBdr>
        <w:top w:val="none" w:sz="0" w:space="0" w:color="auto"/>
        <w:left w:val="none" w:sz="0" w:space="0" w:color="auto"/>
        <w:bottom w:val="none" w:sz="0" w:space="0" w:color="auto"/>
        <w:right w:val="none" w:sz="0" w:space="0" w:color="auto"/>
      </w:divBdr>
    </w:div>
    <w:div w:id="1899126031">
      <w:bodyDiv w:val="1"/>
      <w:marLeft w:val="0"/>
      <w:marRight w:val="0"/>
      <w:marTop w:val="0"/>
      <w:marBottom w:val="0"/>
      <w:divBdr>
        <w:top w:val="none" w:sz="0" w:space="0" w:color="auto"/>
        <w:left w:val="none" w:sz="0" w:space="0" w:color="auto"/>
        <w:bottom w:val="none" w:sz="0" w:space="0" w:color="auto"/>
        <w:right w:val="none" w:sz="0" w:space="0" w:color="auto"/>
      </w:divBdr>
    </w:div>
    <w:div w:id="1912545112">
      <w:bodyDiv w:val="1"/>
      <w:marLeft w:val="0"/>
      <w:marRight w:val="0"/>
      <w:marTop w:val="0"/>
      <w:marBottom w:val="0"/>
      <w:divBdr>
        <w:top w:val="none" w:sz="0" w:space="0" w:color="auto"/>
        <w:left w:val="none" w:sz="0" w:space="0" w:color="auto"/>
        <w:bottom w:val="none" w:sz="0" w:space="0" w:color="auto"/>
        <w:right w:val="none" w:sz="0" w:space="0" w:color="auto"/>
      </w:divBdr>
    </w:div>
    <w:div w:id="1921986788">
      <w:bodyDiv w:val="1"/>
      <w:marLeft w:val="0"/>
      <w:marRight w:val="0"/>
      <w:marTop w:val="0"/>
      <w:marBottom w:val="0"/>
      <w:divBdr>
        <w:top w:val="none" w:sz="0" w:space="0" w:color="auto"/>
        <w:left w:val="none" w:sz="0" w:space="0" w:color="auto"/>
        <w:bottom w:val="none" w:sz="0" w:space="0" w:color="auto"/>
        <w:right w:val="none" w:sz="0" w:space="0" w:color="auto"/>
      </w:divBdr>
    </w:div>
    <w:div w:id="1922368205">
      <w:bodyDiv w:val="1"/>
      <w:marLeft w:val="0"/>
      <w:marRight w:val="0"/>
      <w:marTop w:val="0"/>
      <w:marBottom w:val="0"/>
      <w:divBdr>
        <w:top w:val="none" w:sz="0" w:space="0" w:color="auto"/>
        <w:left w:val="none" w:sz="0" w:space="0" w:color="auto"/>
        <w:bottom w:val="none" w:sz="0" w:space="0" w:color="auto"/>
        <w:right w:val="none" w:sz="0" w:space="0" w:color="auto"/>
      </w:divBdr>
    </w:div>
    <w:div w:id="1925455622">
      <w:bodyDiv w:val="1"/>
      <w:marLeft w:val="0"/>
      <w:marRight w:val="0"/>
      <w:marTop w:val="0"/>
      <w:marBottom w:val="0"/>
      <w:divBdr>
        <w:top w:val="none" w:sz="0" w:space="0" w:color="auto"/>
        <w:left w:val="none" w:sz="0" w:space="0" w:color="auto"/>
        <w:bottom w:val="none" w:sz="0" w:space="0" w:color="auto"/>
        <w:right w:val="none" w:sz="0" w:space="0" w:color="auto"/>
      </w:divBdr>
    </w:div>
    <w:div w:id="1941715041">
      <w:bodyDiv w:val="1"/>
      <w:marLeft w:val="0"/>
      <w:marRight w:val="0"/>
      <w:marTop w:val="0"/>
      <w:marBottom w:val="0"/>
      <w:divBdr>
        <w:top w:val="none" w:sz="0" w:space="0" w:color="auto"/>
        <w:left w:val="none" w:sz="0" w:space="0" w:color="auto"/>
        <w:bottom w:val="none" w:sz="0" w:space="0" w:color="auto"/>
        <w:right w:val="none" w:sz="0" w:space="0" w:color="auto"/>
      </w:divBdr>
    </w:div>
    <w:div w:id="1948927458">
      <w:bodyDiv w:val="1"/>
      <w:marLeft w:val="0"/>
      <w:marRight w:val="0"/>
      <w:marTop w:val="0"/>
      <w:marBottom w:val="0"/>
      <w:divBdr>
        <w:top w:val="none" w:sz="0" w:space="0" w:color="auto"/>
        <w:left w:val="none" w:sz="0" w:space="0" w:color="auto"/>
        <w:bottom w:val="none" w:sz="0" w:space="0" w:color="auto"/>
        <w:right w:val="none" w:sz="0" w:space="0" w:color="auto"/>
      </w:divBdr>
    </w:div>
    <w:div w:id="1960840498">
      <w:bodyDiv w:val="1"/>
      <w:marLeft w:val="0"/>
      <w:marRight w:val="0"/>
      <w:marTop w:val="0"/>
      <w:marBottom w:val="0"/>
      <w:divBdr>
        <w:top w:val="none" w:sz="0" w:space="0" w:color="auto"/>
        <w:left w:val="none" w:sz="0" w:space="0" w:color="auto"/>
        <w:bottom w:val="none" w:sz="0" w:space="0" w:color="auto"/>
        <w:right w:val="none" w:sz="0" w:space="0" w:color="auto"/>
      </w:divBdr>
    </w:div>
    <w:div w:id="1964189778">
      <w:bodyDiv w:val="1"/>
      <w:marLeft w:val="0"/>
      <w:marRight w:val="0"/>
      <w:marTop w:val="0"/>
      <w:marBottom w:val="0"/>
      <w:divBdr>
        <w:top w:val="none" w:sz="0" w:space="0" w:color="auto"/>
        <w:left w:val="none" w:sz="0" w:space="0" w:color="auto"/>
        <w:bottom w:val="none" w:sz="0" w:space="0" w:color="auto"/>
        <w:right w:val="none" w:sz="0" w:space="0" w:color="auto"/>
      </w:divBdr>
    </w:div>
    <w:div w:id="1965888159">
      <w:bodyDiv w:val="1"/>
      <w:marLeft w:val="0"/>
      <w:marRight w:val="0"/>
      <w:marTop w:val="0"/>
      <w:marBottom w:val="0"/>
      <w:divBdr>
        <w:top w:val="none" w:sz="0" w:space="0" w:color="auto"/>
        <w:left w:val="none" w:sz="0" w:space="0" w:color="auto"/>
        <w:bottom w:val="none" w:sz="0" w:space="0" w:color="auto"/>
        <w:right w:val="none" w:sz="0" w:space="0" w:color="auto"/>
      </w:divBdr>
    </w:div>
    <w:div w:id="1969503201">
      <w:bodyDiv w:val="1"/>
      <w:marLeft w:val="0"/>
      <w:marRight w:val="0"/>
      <w:marTop w:val="0"/>
      <w:marBottom w:val="0"/>
      <w:divBdr>
        <w:top w:val="none" w:sz="0" w:space="0" w:color="auto"/>
        <w:left w:val="none" w:sz="0" w:space="0" w:color="auto"/>
        <w:bottom w:val="none" w:sz="0" w:space="0" w:color="auto"/>
        <w:right w:val="none" w:sz="0" w:space="0" w:color="auto"/>
      </w:divBdr>
    </w:div>
    <w:div w:id="1969973932">
      <w:bodyDiv w:val="1"/>
      <w:marLeft w:val="0"/>
      <w:marRight w:val="0"/>
      <w:marTop w:val="0"/>
      <w:marBottom w:val="0"/>
      <w:divBdr>
        <w:top w:val="none" w:sz="0" w:space="0" w:color="auto"/>
        <w:left w:val="none" w:sz="0" w:space="0" w:color="auto"/>
        <w:bottom w:val="none" w:sz="0" w:space="0" w:color="auto"/>
        <w:right w:val="none" w:sz="0" w:space="0" w:color="auto"/>
      </w:divBdr>
    </w:div>
    <w:div w:id="1975523326">
      <w:bodyDiv w:val="1"/>
      <w:marLeft w:val="0"/>
      <w:marRight w:val="0"/>
      <w:marTop w:val="0"/>
      <w:marBottom w:val="0"/>
      <w:divBdr>
        <w:top w:val="none" w:sz="0" w:space="0" w:color="auto"/>
        <w:left w:val="none" w:sz="0" w:space="0" w:color="auto"/>
        <w:bottom w:val="none" w:sz="0" w:space="0" w:color="auto"/>
        <w:right w:val="none" w:sz="0" w:space="0" w:color="auto"/>
      </w:divBdr>
    </w:div>
    <w:div w:id="1982345158">
      <w:bodyDiv w:val="1"/>
      <w:marLeft w:val="0"/>
      <w:marRight w:val="0"/>
      <w:marTop w:val="0"/>
      <w:marBottom w:val="0"/>
      <w:divBdr>
        <w:top w:val="none" w:sz="0" w:space="0" w:color="auto"/>
        <w:left w:val="none" w:sz="0" w:space="0" w:color="auto"/>
        <w:bottom w:val="none" w:sz="0" w:space="0" w:color="auto"/>
        <w:right w:val="none" w:sz="0" w:space="0" w:color="auto"/>
      </w:divBdr>
    </w:div>
    <w:div w:id="1983775043">
      <w:bodyDiv w:val="1"/>
      <w:marLeft w:val="0"/>
      <w:marRight w:val="0"/>
      <w:marTop w:val="0"/>
      <w:marBottom w:val="0"/>
      <w:divBdr>
        <w:top w:val="none" w:sz="0" w:space="0" w:color="auto"/>
        <w:left w:val="none" w:sz="0" w:space="0" w:color="auto"/>
        <w:bottom w:val="none" w:sz="0" w:space="0" w:color="auto"/>
        <w:right w:val="none" w:sz="0" w:space="0" w:color="auto"/>
      </w:divBdr>
    </w:div>
    <w:div w:id="1985700336">
      <w:bodyDiv w:val="1"/>
      <w:marLeft w:val="0"/>
      <w:marRight w:val="0"/>
      <w:marTop w:val="0"/>
      <w:marBottom w:val="0"/>
      <w:divBdr>
        <w:top w:val="none" w:sz="0" w:space="0" w:color="auto"/>
        <w:left w:val="none" w:sz="0" w:space="0" w:color="auto"/>
        <w:bottom w:val="none" w:sz="0" w:space="0" w:color="auto"/>
        <w:right w:val="none" w:sz="0" w:space="0" w:color="auto"/>
      </w:divBdr>
    </w:div>
    <w:div w:id="1990817459">
      <w:bodyDiv w:val="1"/>
      <w:marLeft w:val="0"/>
      <w:marRight w:val="0"/>
      <w:marTop w:val="0"/>
      <w:marBottom w:val="0"/>
      <w:divBdr>
        <w:top w:val="none" w:sz="0" w:space="0" w:color="auto"/>
        <w:left w:val="none" w:sz="0" w:space="0" w:color="auto"/>
        <w:bottom w:val="none" w:sz="0" w:space="0" w:color="auto"/>
        <w:right w:val="none" w:sz="0" w:space="0" w:color="auto"/>
      </w:divBdr>
    </w:div>
    <w:div w:id="1994942956">
      <w:bodyDiv w:val="1"/>
      <w:marLeft w:val="0"/>
      <w:marRight w:val="0"/>
      <w:marTop w:val="0"/>
      <w:marBottom w:val="0"/>
      <w:divBdr>
        <w:top w:val="none" w:sz="0" w:space="0" w:color="auto"/>
        <w:left w:val="none" w:sz="0" w:space="0" w:color="auto"/>
        <w:bottom w:val="none" w:sz="0" w:space="0" w:color="auto"/>
        <w:right w:val="none" w:sz="0" w:space="0" w:color="auto"/>
      </w:divBdr>
    </w:div>
    <w:div w:id="1995638598">
      <w:bodyDiv w:val="1"/>
      <w:marLeft w:val="0"/>
      <w:marRight w:val="0"/>
      <w:marTop w:val="0"/>
      <w:marBottom w:val="0"/>
      <w:divBdr>
        <w:top w:val="none" w:sz="0" w:space="0" w:color="auto"/>
        <w:left w:val="none" w:sz="0" w:space="0" w:color="auto"/>
        <w:bottom w:val="none" w:sz="0" w:space="0" w:color="auto"/>
        <w:right w:val="none" w:sz="0" w:space="0" w:color="auto"/>
      </w:divBdr>
    </w:div>
    <w:div w:id="2005546592">
      <w:bodyDiv w:val="1"/>
      <w:marLeft w:val="0"/>
      <w:marRight w:val="0"/>
      <w:marTop w:val="0"/>
      <w:marBottom w:val="0"/>
      <w:divBdr>
        <w:top w:val="none" w:sz="0" w:space="0" w:color="auto"/>
        <w:left w:val="none" w:sz="0" w:space="0" w:color="auto"/>
        <w:bottom w:val="none" w:sz="0" w:space="0" w:color="auto"/>
        <w:right w:val="none" w:sz="0" w:space="0" w:color="auto"/>
      </w:divBdr>
    </w:div>
    <w:div w:id="2006012733">
      <w:bodyDiv w:val="1"/>
      <w:marLeft w:val="0"/>
      <w:marRight w:val="0"/>
      <w:marTop w:val="0"/>
      <w:marBottom w:val="0"/>
      <w:divBdr>
        <w:top w:val="none" w:sz="0" w:space="0" w:color="auto"/>
        <w:left w:val="none" w:sz="0" w:space="0" w:color="auto"/>
        <w:bottom w:val="none" w:sz="0" w:space="0" w:color="auto"/>
        <w:right w:val="none" w:sz="0" w:space="0" w:color="auto"/>
      </w:divBdr>
    </w:div>
    <w:div w:id="2010019042">
      <w:bodyDiv w:val="1"/>
      <w:marLeft w:val="0"/>
      <w:marRight w:val="0"/>
      <w:marTop w:val="0"/>
      <w:marBottom w:val="0"/>
      <w:divBdr>
        <w:top w:val="none" w:sz="0" w:space="0" w:color="auto"/>
        <w:left w:val="none" w:sz="0" w:space="0" w:color="auto"/>
        <w:bottom w:val="none" w:sz="0" w:space="0" w:color="auto"/>
        <w:right w:val="none" w:sz="0" w:space="0" w:color="auto"/>
      </w:divBdr>
    </w:div>
    <w:div w:id="2018995826">
      <w:bodyDiv w:val="1"/>
      <w:marLeft w:val="0"/>
      <w:marRight w:val="0"/>
      <w:marTop w:val="0"/>
      <w:marBottom w:val="0"/>
      <w:divBdr>
        <w:top w:val="none" w:sz="0" w:space="0" w:color="auto"/>
        <w:left w:val="none" w:sz="0" w:space="0" w:color="auto"/>
        <w:bottom w:val="none" w:sz="0" w:space="0" w:color="auto"/>
        <w:right w:val="none" w:sz="0" w:space="0" w:color="auto"/>
      </w:divBdr>
    </w:div>
    <w:div w:id="2022970818">
      <w:bodyDiv w:val="1"/>
      <w:marLeft w:val="0"/>
      <w:marRight w:val="0"/>
      <w:marTop w:val="0"/>
      <w:marBottom w:val="0"/>
      <w:divBdr>
        <w:top w:val="none" w:sz="0" w:space="0" w:color="auto"/>
        <w:left w:val="none" w:sz="0" w:space="0" w:color="auto"/>
        <w:bottom w:val="none" w:sz="0" w:space="0" w:color="auto"/>
        <w:right w:val="none" w:sz="0" w:space="0" w:color="auto"/>
      </w:divBdr>
    </w:div>
    <w:div w:id="2026469690">
      <w:bodyDiv w:val="1"/>
      <w:marLeft w:val="0"/>
      <w:marRight w:val="0"/>
      <w:marTop w:val="0"/>
      <w:marBottom w:val="0"/>
      <w:divBdr>
        <w:top w:val="none" w:sz="0" w:space="0" w:color="auto"/>
        <w:left w:val="none" w:sz="0" w:space="0" w:color="auto"/>
        <w:bottom w:val="none" w:sz="0" w:space="0" w:color="auto"/>
        <w:right w:val="none" w:sz="0" w:space="0" w:color="auto"/>
      </w:divBdr>
    </w:div>
    <w:div w:id="2046324363">
      <w:bodyDiv w:val="1"/>
      <w:marLeft w:val="0"/>
      <w:marRight w:val="0"/>
      <w:marTop w:val="0"/>
      <w:marBottom w:val="0"/>
      <w:divBdr>
        <w:top w:val="none" w:sz="0" w:space="0" w:color="auto"/>
        <w:left w:val="none" w:sz="0" w:space="0" w:color="auto"/>
        <w:bottom w:val="none" w:sz="0" w:space="0" w:color="auto"/>
        <w:right w:val="none" w:sz="0" w:space="0" w:color="auto"/>
      </w:divBdr>
    </w:div>
    <w:div w:id="2057928650">
      <w:bodyDiv w:val="1"/>
      <w:marLeft w:val="0"/>
      <w:marRight w:val="0"/>
      <w:marTop w:val="0"/>
      <w:marBottom w:val="0"/>
      <w:divBdr>
        <w:top w:val="none" w:sz="0" w:space="0" w:color="auto"/>
        <w:left w:val="none" w:sz="0" w:space="0" w:color="auto"/>
        <w:bottom w:val="none" w:sz="0" w:space="0" w:color="auto"/>
        <w:right w:val="none" w:sz="0" w:space="0" w:color="auto"/>
      </w:divBdr>
    </w:div>
    <w:div w:id="2073459421">
      <w:bodyDiv w:val="1"/>
      <w:marLeft w:val="0"/>
      <w:marRight w:val="0"/>
      <w:marTop w:val="0"/>
      <w:marBottom w:val="0"/>
      <w:divBdr>
        <w:top w:val="none" w:sz="0" w:space="0" w:color="auto"/>
        <w:left w:val="none" w:sz="0" w:space="0" w:color="auto"/>
        <w:bottom w:val="none" w:sz="0" w:space="0" w:color="auto"/>
        <w:right w:val="none" w:sz="0" w:space="0" w:color="auto"/>
      </w:divBdr>
    </w:div>
    <w:div w:id="2079130477">
      <w:bodyDiv w:val="1"/>
      <w:marLeft w:val="0"/>
      <w:marRight w:val="0"/>
      <w:marTop w:val="0"/>
      <w:marBottom w:val="0"/>
      <w:divBdr>
        <w:top w:val="none" w:sz="0" w:space="0" w:color="auto"/>
        <w:left w:val="none" w:sz="0" w:space="0" w:color="auto"/>
        <w:bottom w:val="none" w:sz="0" w:space="0" w:color="auto"/>
        <w:right w:val="none" w:sz="0" w:space="0" w:color="auto"/>
      </w:divBdr>
    </w:div>
    <w:div w:id="2080446178">
      <w:bodyDiv w:val="1"/>
      <w:marLeft w:val="0"/>
      <w:marRight w:val="0"/>
      <w:marTop w:val="0"/>
      <w:marBottom w:val="0"/>
      <w:divBdr>
        <w:top w:val="none" w:sz="0" w:space="0" w:color="auto"/>
        <w:left w:val="none" w:sz="0" w:space="0" w:color="auto"/>
        <w:bottom w:val="none" w:sz="0" w:space="0" w:color="auto"/>
        <w:right w:val="none" w:sz="0" w:space="0" w:color="auto"/>
      </w:divBdr>
    </w:div>
    <w:div w:id="2082176489">
      <w:bodyDiv w:val="1"/>
      <w:marLeft w:val="0"/>
      <w:marRight w:val="0"/>
      <w:marTop w:val="0"/>
      <w:marBottom w:val="0"/>
      <w:divBdr>
        <w:top w:val="none" w:sz="0" w:space="0" w:color="auto"/>
        <w:left w:val="none" w:sz="0" w:space="0" w:color="auto"/>
        <w:bottom w:val="none" w:sz="0" w:space="0" w:color="auto"/>
        <w:right w:val="none" w:sz="0" w:space="0" w:color="auto"/>
      </w:divBdr>
    </w:div>
    <w:div w:id="2086754096">
      <w:bodyDiv w:val="1"/>
      <w:marLeft w:val="0"/>
      <w:marRight w:val="0"/>
      <w:marTop w:val="0"/>
      <w:marBottom w:val="0"/>
      <w:divBdr>
        <w:top w:val="none" w:sz="0" w:space="0" w:color="auto"/>
        <w:left w:val="none" w:sz="0" w:space="0" w:color="auto"/>
        <w:bottom w:val="none" w:sz="0" w:space="0" w:color="auto"/>
        <w:right w:val="none" w:sz="0" w:space="0" w:color="auto"/>
      </w:divBdr>
    </w:div>
    <w:div w:id="2090537327">
      <w:bodyDiv w:val="1"/>
      <w:marLeft w:val="0"/>
      <w:marRight w:val="0"/>
      <w:marTop w:val="0"/>
      <w:marBottom w:val="0"/>
      <w:divBdr>
        <w:top w:val="none" w:sz="0" w:space="0" w:color="auto"/>
        <w:left w:val="none" w:sz="0" w:space="0" w:color="auto"/>
        <w:bottom w:val="none" w:sz="0" w:space="0" w:color="auto"/>
        <w:right w:val="none" w:sz="0" w:space="0" w:color="auto"/>
      </w:divBdr>
    </w:div>
    <w:div w:id="2097821031">
      <w:bodyDiv w:val="1"/>
      <w:marLeft w:val="0"/>
      <w:marRight w:val="0"/>
      <w:marTop w:val="0"/>
      <w:marBottom w:val="0"/>
      <w:divBdr>
        <w:top w:val="none" w:sz="0" w:space="0" w:color="auto"/>
        <w:left w:val="none" w:sz="0" w:space="0" w:color="auto"/>
        <w:bottom w:val="none" w:sz="0" w:space="0" w:color="auto"/>
        <w:right w:val="none" w:sz="0" w:space="0" w:color="auto"/>
      </w:divBdr>
    </w:div>
    <w:div w:id="2106607704">
      <w:bodyDiv w:val="1"/>
      <w:marLeft w:val="0"/>
      <w:marRight w:val="0"/>
      <w:marTop w:val="0"/>
      <w:marBottom w:val="0"/>
      <w:divBdr>
        <w:top w:val="none" w:sz="0" w:space="0" w:color="auto"/>
        <w:left w:val="none" w:sz="0" w:space="0" w:color="auto"/>
        <w:bottom w:val="none" w:sz="0" w:space="0" w:color="auto"/>
        <w:right w:val="none" w:sz="0" w:space="0" w:color="auto"/>
      </w:divBdr>
    </w:div>
    <w:div w:id="2112161846">
      <w:bodyDiv w:val="1"/>
      <w:marLeft w:val="0"/>
      <w:marRight w:val="0"/>
      <w:marTop w:val="0"/>
      <w:marBottom w:val="0"/>
      <w:divBdr>
        <w:top w:val="none" w:sz="0" w:space="0" w:color="auto"/>
        <w:left w:val="none" w:sz="0" w:space="0" w:color="auto"/>
        <w:bottom w:val="none" w:sz="0" w:space="0" w:color="auto"/>
        <w:right w:val="none" w:sz="0" w:space="0" w:color="auto"/>
      </w:divBdr>
    </w:div>
    <w:div w:id="2117674659">
      <w:bodyDiv w:val="1"/>
      <w:marLeft w:val="0"/>
      <w:marRight w:val="0"/>
      <w:marTop w:val="0"/>
      <w:marBottom w:val="0"/>
      <w:divBdr>
        <w:top w:val="none" w:sz="0" w:space="0" w:color="auto"/>
        <w:left w:val="none" w:sz="0" w:space="0" w:color="auto"/>
        <w:bottom w:val="none" w:sz="0" w:space="0" w:color="auto"/>
        <w:right w:val="none" w:sz="0" w:space="0" w:color="auto"/>
      </w:divBdr>
    </w:div>
    <w:div w:id="2118864037">
      <w:bodyDiv w:val="1"/>
      <w:marLeft w:val="0"/>
      <w:marRight w:val="0"/>
      <w:marTop w:val="0"/>
      <w:marBottom w:val="0"/>
      <w:divBdr>
        <w:top w:val="none" w:sz="0" w:space="0" w:color="auto"/>
        <w:left w:val="none" w:sz="0" w:space="0" w:color="auto"/>
        <w:bottom w:val="none" w:sz="0" w:space="0" w:color="auto"/>
        <w:right w:val="none" w:sz="0" w:space="0" w:color="auto"/>
      </w:divBdr>
    </w:div>
    <w:div w:id="2119982656">
      <w:bodyDiv w:val="1"/>
      <w:marLeft w:val="0"/>
      <w:marRight w:val="0"/>
      <w:marTop w:val="0"/>
      <w:marBottom w:val="0"/>
      <w:divBdr>
        <w:top w:val="none" w:sz="0" w:space="0" w:color="auto"/>
        <w:left w:val="none" w:sz="0" w:space="0" w:color="auto"/>
        <w:bottom w:val="none" w:sz="0" w:space="0" w:color="auto"/>
        <w:right w:val="none" w:sz="0" w:space="0" w:color="auto"/>
      </w:divBdr>
    </w:div>
    <w:div w:id="2141994190">
      <w:bodyDiv w:val="1"/>
      <w:marLeft w:val="0"/>
      <w:marRight w:val="0"/>
      <w:marTop w:val="0"/>
      <w:marBottom w:val="0"/>
      <w:divBdr>
        <w:top w:val="none" w:sz="0" w:space="0" w:color="auto"/>
        <w:left w:val="none" w:sz="0" w:space="0" w:color="auto"/>
        <w:bottom w:val="none" w:sz="0" w:space="0" w:color="auto"/>
        <w:right w:val="none" w:sz="0" w:space="0" w:color="auto"/>
      </w:divBdr>
    </w:div>
    <w:div w:id="21444972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image" Target="media/image27.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hyperlink" Target="http://icecalculator.com"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footer" Target="footer2.xml"/><Relationship Id="rId19" Type="http://schemas.openxmlformats.org/officeDocument/2006/relationships/footer" Target="footer4.xml"/><Relationship Id="rId31" Type="http://schemas.openxmlformats.org/officeDocument/2006/relationships/image" Target="media/image19.png"/><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0.pn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76D01B-DA8F-4DD0-9E25-3944978292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90</Pages>
  <Words>17968</Words>
  <Characters>102422</Characters>
  <Application>Microsoft Office Word</Application>
  <DocSecurity>0</DocSecurity>
  <Lines>853</Lines>
  <Paragraphs>240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2025-01-28T19:24:00Z</dcterms:created>
  <dcterms:modified xsi:type="dcterms:W3CDTF">2025-01-28T19:24:00Z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y fmtid="{D5CDD505-2E9C-101B-9397-08002B2CF9AE}" pid="3" name="MSIP_Label_ed3826ce-7c18-471d-9596-93de5bae332e_Enabled">
    <vt:lpwstr>true</vt:lpwstr>
  </property>
  <property fmtid="{D5CDD505-2E9C-101B-9397-08002B2CF9AE}" pid="4" name="MSIP_Label_ed3826ce-7c18-471d-9596-93de5bae332e_SetDate">
    <vt:lpwstr>2025-01-28T19:24:15Z</vt:lpwstr>
  </property>
  <property fmtid="{D5CDD505-2E9C-101B-9397-08002B2CF9AE}" pid="5" name="MSIP_Label_ed3826ce-7c18-471d-9596-93de5bae332e_Method">
    <vt:lpwstr>Standard</vt:lpwstr>
  </property>
  <property fmtid="{D5CDD505-2E9C-101B-9397-08002B2CF9AE}" pid="6" name="MSIP_Label_ed3826ce-7c18-471d-9596-93de5bae332e_Name">
    <vt:lpwstr>Internal</vt:lpwstr>
  </property>
  <property fmtid="{D5CDD505-2E9C-101B-9397-08002B2CF9AE}" pid="7" name="MSIP_Label_ed3826ce-7c18-471d-9596-93de5bae332e_SiteId">
    <vt:lpwstr>c0a02e2d-1186-410a-8895-0a4a252ebf17</vt:lpwstr>
  </property>
  <property fmtid="{D5CDD505-2E9C-101B-9397-08002B2CF9AE}" pid="8" name="MSIP_Label_ed3826ce-7c18-471d-9596-93de5bae332e_ActionId">
    <vt:lpwstr>1538ac70-369a-4628-bbc3-0fe6e484faa0</vt:lpwstr>
  </property>
  <property fmtid="{D5CDD505-2E9C-101B-9397-08002B2CF9AE}" pid="9" name="MSIP_Label_ed3826ce-7c18-471d-9596-93de5bae332e_ContentBits">
    <vt:lpwstr>0</vt:lpwstr>
  </property>
</Properties>
</file>